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50B33D" w14:textId="454E0A70" w:rsidR="00B4314A" w:rsidRPr="00FB44D8" w:rsidRDefault="00B4314A" w:rsidP="00B4314A">
      <w:pPr>
        <w:jc w:val="center"/>
        <w:rPr>
          <w:b/>
          <w:sz w:val="28"/>
          <w:szCs w:val="28"/>
        </w:rPr>
      </w:pPr>
      <w:r>
        <w:rPr>
          <w:b/>
          <w:sz w:val="28"/>
          <w:szCs w:val="28"/>
        </w:rPr>
        <w:t xml:space="preserve">Citation </w:t>
      </w:r>
      <w:r w:rsidR="00D507F6">
        <w:rPr>
          <w:b/>
          <w:sz w:val="28"/>
          <w:szCs w:val="28"/>
        </w:rPr>
        <w:t>Chain</w:t>
      </w:r>
    </w:p>
    <w:p w14:paraId="1A394432" w14:textId="77777777" w:rsidR="00D507F6" w:rsidRPr="009A244C" w:rsidRDefault="00D507F6" w:rsidP="00D507F6">
      <w:pPr>
        <w:spacing w:line="276" w:lineRule="auto"/>
        <w:rPr>
          <w:rFonts w:cstheme="minorHAnsi"/>
          <w:sz w:val="24"/>
          <w:szCs w:val="24"/>
        </w:rPr>
      </w:pPr>
      <w:r w:rsidRPr="009A244C">
        <w:rPr>
          <w:rFonts w:cstheme="minorHAnsi"/>
          <w:sz w:val="24"/>
          <w:szCs w:val="24"/>
        </w:rPr>
        <w:t>Below is a segment of a scholarly conversation. The conversation is represented here as brief excerpts from 6 writers’ articles on the same topic</w:t>
      </w:r>
      <w:r>
        <w:rPr>
          <w:rFonts w:cstheme="minorHAnsi"/>
          <w:sz w:val="24"/>
          <w:szCs w:val="24"/>
        </w:rPr>
        <w:t xml:space="preserve">, most of whom cite another.  </w:t>
      </w:r>
      <w:r w:rsidRPr="009A244C">
        <w:rPr>
          <w:rFonts w:cstheme="minorHAnsi"/>
          <w:b/>
          <w:sz w:val="24"/>
          <w:szCs w:val="24"/>
        </w:rPr>
        <w:t>However</w:t>
      </w:r>
      <w:r w:rsidRPr="009A244C">
        <w:rPr>
          <w:rFonts w:cstheme="minorHAnsi"/>
          <w:sz w:val="24"/>
          <w:szCs w:val="24"/>
        </w:rPr>
        <w:t xml:space="preserve">, we have </w:t>
      </w:r>
      <w:r>
        <w:rPr>
          <w:rFonts w:cstheme="minorHAnsi"/>
          <w:sz w:val="24"/>
          <w:szCs w:val="24"/>
        </w:rPr>
        <w:t xml:space="preserve">removed the dates in the article </w:t>
      </w:r>
      <w:r w:rsidRPr="009A244C">
        <w:rPr>
          <w:rFonts w:cstheme="minorHAnsi"/>
          <w:sz w:val="24"/>
          <w:szCs w:val="24"/>
        </w:rPr>
        <w:t xml:space="preserve">citations and mixed up the order in which the writers appear to speak in this conversation.  </w:t>
      </w:r>
    </w:p>
    <w:p w14:paraId="21F9E5DE" w14:textId="77777777" w:rsidR="00D507F6" w:rsidRPr="009A244C" w:rsidRDefault="00D507F6" w:rsidP="00D507F6">
      <w:pPr>
        <w:spacing w:line="276" w:lineRule="auto"/>
        <w:rPr>
          <w:rFonts w:cstheme="minorHAnsi"/>
          <w:sz w:val="24"/>
          <w:szCs w:val="24"/>
        </w:rPr>
      </w:pPr>
    </w:p>
    <w:p w14:paraId="0AF435DE" w14:textId="77777777" w:rsidR="00D507F6" w:rsidRPr="009A244C" w:rsidRDefault="00D507F6" w:rsidP="00D507F6">
      <w:pPr>
        <w:spacing w:line="276" w:lineRule="auto"/>
        <w:rPr>
          <w:rFonts w:cstheme="minorHAnsi"/>
          <w:sz w:val="24"/>
          <w:szCs w:val="24"/>
        </w:rPr>
      </w:pPr>
      <w:r w:rsidRPr="009A244C">
        <w:rPr>
          <w:rFonts w:cstheme="minorHAnsi"/>
          <w:sz w:val="24"/>
          <w:szCs w:val="24"/>
        </w:rPr>
        <w:t xml:space="preserve">For instance, </w:t>
      </w:r>
      <w:proofErr w:type="spellStart"/>
      <w:r w:rsidRPr="009A244C">
        <w:rPr>
          <w:rFonts w:cstheme="minorHAnsi"/>
          <w:sz w:val="24"/>
          <w:szCs w:val="24"/>
        </w:rPr>
        <w:t>Delpit’s</w:t>
      </w:r>
      <w:proofErr w:type="spellEnd"/>
      <w:r w:rsidRPr="009A244C">
        <w:rPr>
          <w:rFonts w:cstheme="minorHAnsi"/>
          <w:sz w:val="24"/>
          <w:szCs w:val="24"/>
        </w:rPr>
        <w:t xml:space="preserve"> excerpt is shown first but she did not speak first.  The person who spoke first in this conversation is the author whose work was not shown as quoted, paraphrased, or summarized by another writer.  (</w:t>
      </w:r>
      <w:r>
        <w:rPr>
          <w:rFonts w:cstheme="minorHAnsi"/>
          <w:sz w:val="24"/>
          <w:szCs w:val="24"/>
        </w:rPr>
        <w:t>Perhaps this</w:t>
      </w:r>
      <w:r w:rsidRPr="009A244C">
        <w:rPr>
          <w:rFonts w:cstheme="minorHAnsi"/>
          <w:sz w:val="24"/>
          <w:szCs w:val="24"/>
        </w:rPr>
        <w:t xml:space="preserve"> author’s work </w:t>
      </w:r>
      <w:r>
        <w:rPr>
          <w:rFonts w:cstheme="minorHAnsi"/>
          <w:sz w:val="24"/>
          <w:szCs w:val="24"/>
        </w:rPr>
        <w:t>was</w:t>
      </w:r>
      <w:r w:rsidRPr="009A244C">
        <w:rPr>
          <w:rFonts w:cstheme="minorHAnsi"/>
          <w:sz w:val="24"/>
          <w:szCs w:val="24"/>
        </w:rPr>
        <w:t xml:space="preserve"> too recent to have been available when the others were writing. Writers can only use what’s available to them.)  </w:t>
      </w:r>
    </w:p>
    <w:p w14:paraId="55C32C4F" w14:textId="77777777" w:rsidR="00D507F6" w:rsidRPr="008E6F02" w:rsidRDefault="00D507F6" w:rsidP="00D507F6">
      <w:pPr>
        <w:spacing w:line="276" w:lineRule="auto"/>
        <w:rPr>
          <w:rFonts w:cstheme="minorHAnsi"/>
          <w:i/>
          <w:sz w:val="24"/>
          <w:szCs w:val="24"/>
        </w:rPr>
      </w:pPr>
    </w:p>
    <w:p w14:paraId="3B87C86A" w14:textId="77777777" w:rsidR="00D507F6" w:rsidRPr="008E6F02" w:rsidRDefault="00D507F6" w:rsidP="00D507F6">
      <w:pPr>
        <w:spacing w:line="276" w:lineRule="auto"/>
        <w:rPr>
          <w:rFonts w:cstheme="minorHAnsi"/>
          <w:i/>
          <w:sz w:val="24"/>
          <w:szCs w:val="24"/>
        </w:rPr>
      </w:pPr>
      <w:r w:rsidRPr="008E6F02">
        <w:rPr>
          <w:rFonts w:cstheme="minorHAnsi"/>
          <w:b/>
          <w:i/>
          <w:sz w:val="24"/>
          <w:szCs w:val="24"/>
        </w:rPr>
        <w:t>Directions:</w:t>
      </w:r>
      <w:r w:rsidRPr="008E6F02">
        <w:rPr>
          <w:rFonts w:cstheme="minorHAnsi"/>
          <w:i/>
          <w:sz w:val="24"/>
          <w:szCs w:val="24"/>
        </w:rPr>
        <w:t xml:space="preserve"> </w:t>
      </w:r>
      <w:r>
        <w:rPr>
          <w:rFonts w:cstheme="minorHAnsi"/>
          <w:i/>
          <w:sz w:val="24"/>
          <w:szCs w:val="24"/>
        </w:rPr>
        <w:t>Please</w:t>
      </w:r>
      <w:r w:rsidRPr="008E6F02">
        <w:rPr>
          <w:rFonts w:cstheme="minorHAnsi"/>
          <w:i/>
          <w:sz w:val="24"/>
          <w:szCs w:val="24"/>
        </w:rPr>
        <w:t xml:space="preserve"> number the excerpts </w:t>
      </w:r>
      <w:r>
        <w:rPr>
          <w:rFonts w:cstheme="minorHAnsi"/>
          <w:i/>
          <w:sz w:val="24"/>
          <w:szCs w:val="24"/>
        </w:rPr>
        <w:t>from 1-6</w:t>
      </w:r>
      <w:r w:rsidRPr="008E6F02">
        <w:rPr>
          <w:rFonts w:cstheme="minorHAnsi"/>
          <w:i/>
          <w:sz w:val="24"/>
          <w:szCs w:val="24"/>
        </w:rPr>
        <w:t xml:space="preserve"> in the order the authors </w:t>
      </w:r>
      <w:r>
        <w:rPr>
          <w:rFonts w:cstheme="minorHAnsi"/>
          <w:i/>
          <w:sz w:val="24"/>
          <w:szCs w:val="24"/>
        </w:rPr>
        <w:t xml:space="preserve">entered the conversation by </w:t>
      </w:r>
      <w:r w:rsidRPr="008E6F02">
        <w:rPr>
          <w:rFonts w:cstheme="minorHAnsi"/>
          <w:i/>
          <w:sz w:val="24"/>
          <w:szCs w:val="24"/>
        </w:rPr>
        <w:t>quot</w:t>
      </w:r>
      <w:r>
        <w:rPr>
          <w:rFonts w:cstheme="minorHAnsi"/>
          <w:i/>
          <w:sz w:val="24"/>
          <w:szCs w:val="24"/>
        </w:rPr>
        <w:t>ing</w:t>
      </w:r>
      <w:r w:rsidRPr="008E6F02">
        <w:rPr>
          <w:rFonts w:cstheme="minorHAnsi"/>
          <w:i/>
          <w:sz w:val="24"/>
          <w:szCs w:val="24"/>
        </w:rPr>
        <w:t>, paraphras</w:t>
      </w:r>
      <w:r>
        <w:rPr>
          <w:rFonts w:cstheme="minorHAnsi"/>
          <w:i/>
          <w:sz w:val="24"/>
          <w:szCs w:val="24"/>
        </w:rPr>
        <w:t>ing</w:t>
      </w:r>
      <w:r w:rsidRPr="008E6F02">
        <w:rPr>
          <w:rFonts w:cstheme="minorHAnsi"/>
          <w:i/>
          <w:sz w:val="24"/>
          <w:szCs w:val="24"/>
        </w:rPr>
        <w:t>, or summariz</w:t>
      </w:r>
      <w:r>
        <w:rPr>
          <w:rFonts w:cstheme="minorHAnsi"/>
          <w:i/>
          <w:sz w:val="24"/>
          <w:szCs w:val="24"/>
        </w:rPr>
        <w:t>ing</w:t>
      </w:r>
      <w:r w:rsidRPr="008E6F02">
        <w:rPr>
          <w:rFonts w:cstheme="minorHAnsi"/>
          <w:i/>
          <w:sz w:val="24"/>
          <w:szCs w:val="24"/>
        </w:rPr>
        <w:t xml:space="preserve"> another. </w:t>
      </w:r>
      <w:r>
        <w:rPr>
          <w:rFonts w:cstheme="minorHAnsi"/>
          <w:i/>
          <w:sz w:val="24"/>
          <w:szCs w:val="24"/>
        </w:rPr>
        <w:t xml:space="preserve">The author not cited by any of the others is 1.   </w:t>
      </w:r>
    </w:p>
    <w:p w14:paraId="63204BB2" w14:textId="77777777" w:rsidR="00D507F6" w:rsidRDefault="00D507F6" w:rsidP="00D507F6">
      <w:pPr>
        <w:spacing w:line="276" w:lineRule="auto"/>
        <w:rPr>
          <w:rFonts w:cstheme="minorHAnsi"/>
          <w:b/>
          <w:sz w:val="24"/>
          <w:szCs w:val="24"/>
        </w:rPr>
      </w:pPr>
    </w:p>
    <w:p w14:paraId="6904C68D" w14:textId="77777777" w:rsidR="00D507F6" w:rsidRPr="005F1856" w:rsidRDefault="00D507F6" w:rsidP="00D507F6">
      <w:pPr>
        <w:spacing w:line="276" w:lineRule="auto"/>
        <w:rPr>
          <w:rFonts w:cstheme="minorHAnsi"/>
          <w:sz w:val="24"/>
          <w:szCs w:val="24"/>
        </w:rPr>
      </w:pPr>
      <w:r w:rsidRPr="009F4A48">
        <w:rPr>
          <w:rFonts w:cstheme="minorHAnsi"/>
          <w:b/>
          <w:sz w:val="24"/>
          <w:szCs w:val="24"/>
        </w:rPr>
        <w:t>Excerpts</w:t>
      </w:r>
      <w:r w:rsidRPr="005F1856">
        <w:rPr>
          <w:rFonts w:cstheme="minorHAnsi"/>
          <w:sz w:val="24"/>
          <w:szCs w:val="24"/>
        </w:rPr>
        <w:t>______________________________________________________________________</w:t>
      </w:r>
    </w:p>
    <w:p w14:paraId="7741F5B9" w14:textId="77777777" w:rsidR="00D507F6" w:rsidRDefault="00D507F6" w:rsidP="00D507F6">
      <w:pPr>
        <w:spacing w:line="276" w:lineRule="auto"/>
        <w:rPr>
          <w:rFonts w:cstheme="minorHAnsi"/>
          <w:sz w:val="24"/>
          <w:szCs w:val="24"/>
        </w:rPr>
      </w:pPr>
      <w:r w:rsidRPr="005F1856">
        <w:rPr>
          <w:rFonts w:cstheme="minorHAnsi"/>
          <w:sz w:val="24"/>
          <w:szCs w:val="24"/>
        </w:rPr>
        <w:t>As I first read the far-reaching, politically sensitive articles, I found that I agreed with much that Gee wrote, as I have with much of his previous work. He argues that literacy is much more than reading and writing, but rather, that it is part of a larger political entity…He adds that one never learns simply to read or write, but to read and write within some larger Discourse, and therefore within some larger set of values and beliefs. (285-6)</w:t>
      </w:r>
      <w:r>
        <w:rPr>
          <w:rFonts w:cstheme="minorHAnsi"/>
          <w:sz w:val="24"/>
          <w:szCs w:val="24"/>
        </w:rPr>
        <w:t xml:space="preserve">  </w:t>
      </w:r>
    </w:p>
    <w:p w14:paraId="21114209" w14:textId="687E9D47" w:rsidR="00D507F6" w:rsidRPr="00D507F6" w:rsidRDefault="00D507F6" w:rsidP="00D507F6">
      <w:pPr>
        <w:spacing w:line="276" w:lineRule="auto"/>
        <w:ind w:left="720" w:hanging="720"/>
        <w:rPr>
          <w:rFonts w:cstheme="minorHAnsi"/>
          <w:i/>
          <w:iCs/>
          <w:sz w:val="20"/>
          <w:szCs w:val="20"/>
        </w:rPr>
      </w:pPr>
      <w:proofErr w:type="spellStart"/>
      <w:r w:rsidRPr="009A244C">
        <w:rPr>
          <w:rFonts w:cstheme="minorHAnsi"/>
          <w:sz w:val="20"/>
          <w:szCs w:val="20"/>
        </w:rPr>
        <w:t>Delpit</w:t>
      </w:r>
      <w:proofErr w:type="spellEnd"/>
      <w:r w:rsidRPr="009A244C">
        <w:rPr>
          <w:rFonts w:cstheme="minorHAnsi"/>
          <w:sz w:val="20"/>
          <w:szCs w:val="20"/>
        </w:rPr>
        <w:t xml:space="preserve">, Lisa D. “The Politics of Teaching Literature Discourse.” </w:t>
      </w:r>
      <w:r w:rsidRPr="009A244C">
        <w:rPr>
          <w:rFonts w:cstheme="minorHAnsi"/>
          <w:i/>
          <w:iCs/>
          <w:sz w:val="20"/>
          <w:szCs w:val="20"/>
        </w:rPr>
        <w:t>Freedom’s Plow: Teaching in the Multicultural</w:t>
      </w:r>
      <w:r>
        <w:rPr>
          <w:rFonts w:cstheme="minorHAnsi"/>
          <w:i/>
          <w:iCs/>
          <w:sz w:val="20"/>
          <w:szCs w:val="20"/>
        </w:rPr>
        <w:t xml:space="preserve"> </w:t>
      </w:r>
      <w:r w:rsidRPr="009A244C">
        <w:rPr>
          <w:rFonts w:cstheme="minorHAnsi"/>
          <w:i/>
          <w:iCs/>
          <w:sz w:val="20"/>
          <w:szCs w:val="20"/>
        </w:rPr>
        <w:t>Classroom</w:t>
      </w:r>
      <w:r w:rsidRPr="009A244C">
        <w:rPr>
          <w:rFonts w:cstheme="minorHAnsi"/>
          <w:iCs/>
          <w:sz w:val="20"/>
          <w:szCs w:val="20"/>
        </w:rPr>
        <w:t xml:space="preserve">, edited by Theresa Perry and James W. Fraser, </w:t>
      </w:r>
      <w:r w:rsidRPr="009A244C">
        <w:rPr>
          <w:rFonts w:cstheme="minorHAnsi"/>
          <w:sz w:val="20"/>
          <w:szCs w:val="20"/>
        </w:rPr>
        <w:t xml:space="preserve">New </w:t>
      </w:r>
      <w:proofErr w:type="spellStart"/>
      <w:r w:rsidRPr="009A244C">
        <w:rPr>
          <w:rFonts w:cstheme="minorHAnsi"/>
          <w:sz w:val="20"/>
          <w:szCs w:val="20"/>
        </w:rPr>
        <w:t>Routledge</w:t>
      </w:r>
      <w:proofErr w:type="spellEnd"/>
      <w:r w:rsidRPr="009A244C">
        <w:rPr>
          <w:rFonts w:cstheme="minorHAnsi"/>
          <w:sz w:val="20"/>
          <w:szCs w:val="20"/>
        </w:rPr>
        <w:t>, pp. 285-95.</w:t>
      </w:r>
    </w:p>
    <w:p w14:paraId="2E1F1B0D" w14:textId="77777777" w:rsidR="00D507F6" w:rsidRDefault="00D507F6" w:rsidP="00D507F6">
      <w:pPr>
        <w:spacing w:line="276" w:lineRule="auto"/>
        <w:rPr>
          <w:rFonts w:cstheme="minorHAnsi"/>
          <w:sz w:val="24"/>
          <w:szCs w:val="24"/>
        </w:rPr>
      </w:pPr>
    </w:p>
    <w:p w14:paraId="7A5D9C02" w14:textId="77777777" w:rsidR="00D507F6" w:rsidRDefault="00D507F6" w:rsidP="00D507F6">
      <w:pPr>
        <w:spacing w:line="276" w:lineRule="auto"/>
        <w:rPr>
          <w:rFonts w:cstheme="minorHAnsi"/>
          <w:sz w:val="24"/>
          <w:szCs w:val="24"/>
        </w:rPr>
      </w:pPr>
      <w:r>
        <w:rPr>
          <w:rFonts w:cstheme="minorHAnsi"/>
          <w:sz w:val="24"/>
          <w:szCs w:val="24"/>
        </w:rPr>
        <w:t>Order: _______</w:t>
      </w:r>
    </w:p>
    <w:p w14:paraId="7436F435" w14:textId="77777777" w:rsidR="00D507F6" w:rsidRPr="005F1856" w:rsidRDefault="00D507F6" w:rsidP="00D507F6">
      <w:pPr>
        <w:spacing w:line="276" w:lineRule="auto"/>
        <w:rPr>
          <w:rFonts w:cstheme="minorHAnsi"/>
          <w:sz w:val="24"/>
          <w:szCs w:val="24"/>
        </w:rPr>
      </w:pPr>
      <w:r w:rsidRPr="005F1856">
        <w:rPr>
          <w:rFonts w:cstheme="minorHAnsi"/>
          <w:sz w:val="24"/>
          <w:szCs w:val="24"/>
        </w:rPr>
        <w:t>______________________________________________________________________________</w:t>
      </w:r>
    </w:p>
    <w:p w14:paraId="7B437C47" w14:textId="77777777" w:rsidR="00D507F6" w:rsidRDefault="00D507F6" w:rsidP="00D507F6">
      <w:pPr>
        <w:spacing w:line="276" w:lineRule="auto"/>
        <w:rPr>
          <w:rFonts w:cstheme="minorHAnsi"/>
          <w:sz w:val="24"/>
          <w:szCs w:val="24"/>
        </w:rPr>
      </w:pPr>
      <w:proofErr w:type="spellStart"/>
      <w:r w:rsidRPr="005F1856">
        <w:rPr>
          <w:rFonts w:cstheme="minorHAnsi"/>
          <w:sz w:val="24"/>
          <w:szCs w:val="24"/>
        </w:rPr>
        <w:t>Bakhtin</w:t>
      </w:r>
      <w:proofErr w:type="spellEnd"/>
      <w:r w:rsidRPr="005F1856">
        <w:rPr>
          <w:rFonts w:cstheme="minorHAnsi"/>
          <w:sz w:val="24"/>
          <w:szCs w:val="24"/>
        </w:rPr>
        <w:t xml:space="preserve"> would probably view our gallant efforts to make language social as interesting, but hardly necessary. For it is ludicrous to believe that we make language social only from the outside when we place it in a social context. Instead, language presents itself to us as social phenomenon from the inside, through and through, from its very essence. (158). </w:t>
      </w:r>
    </w:p>
    <w:p w14:paraId="6703A6B4" w14:textId="77777777" w:rsidR="00D507F6" w:rsidRPr="009A244C" w:rsidRDefault="00D507F6" w:rsidP="00D507F6">
      <w:pPr>
        <w:spacing w:line="276" w:lineRule="auto"/>
        <w:ind w:left="720" w:hanging="720"/>
        <w:rPr>
          <w:rFonts w:cstheme="minorHAnsi"/>
          <w:sz w:val="20"/>
          <w:szCs w:val="20"/>
        </w:rPr>
      </w:pPr>
      <w:r w:rsidRPr="009A244C">
        <w:rPr>
          <w:rFonts w:cstheme="minorHAnsi"/>
          <w:sz w:val="20"/>
          <w:szCs w:val="20"/>
        </w:rPr>
        <w:lastRenderedPageBreak/>
        <w:t xml:space="preserve">Mack, Nancy. “The Social Nature of Words: Voices, Dialogues, Quarrels.” </w:t>
      </w:r>
      <w:r w:rsidRPr="009A244C">
        <w:rPr>
          <w:rFonts w:cstheme="minorHAnsi"/>
          <w:i/>
          <w:sz w:val="20"/>
          <w:szCs w:val="20"/>
        </w:rPr>
        <w:t>The Writing Instructor</w:t>
      </w:r>
      <w:r w:rsidRPr="009A244C">
        <w:rPr>
          <w:rFonts w:cstheme="minorHAnsi"/>
          <w:sz w:val="20"/>
          <w:szCs w:val="20"/>
        </w:rPr>
        <w:t xml:space="preserve">, vol. 8, no. 4, pp. 157-65. </w:t>
      </w:r>
      <w:proofErr w:type="gramStart"/>
      <w:r w:rsidRPr="009A244C">
        <w:rPr>
          <w:rFonts w:cstheme="minorHAnsi"/>
          <w:i/>
          <w:sz w:val="20"/>
          <w:szCs w:val="20"/>
        </w:rPr>
        <w:t>Wright State University CORE Scholar</w:t>
      </w:r>
      <w:r w:rsidRPr="009A244C">
        <w:rPr>
          <w:rFonts w:cstheme="minorHAnsi"/>
          <w:sz w:val="20"/>
          <w:szCs w:val="20"/>
        </w:rPr>
        <w:t>, corescholar.libraries.wright.edu /</w:t>
      </w:r>
      <w:proofErr w:type="spellStart"/>
      <w:r w:rsidRPr="009A244C">
        <w:rPr>
          <w:rFonts w:cstheme="minorHAnsi"/>
          <w:sz w:val="20"/>
          <w:szCs w:val="20"/>
        </w:rPr>
        <w:t>english</w:t>
      </w:r>
      <w:proofErr w:type="spellEnd"/>
      <w:r w:rsidRPr="009A244C">
        <w:rPr>
          <w:rFonts w:cstheme="minorHAnsi"/>
          <w:sz w:val="20"/>
          <w:szCs w:val="20"/>
        </w:rPr>
        <w:t>/74.</w:t>
      </w:r>
      <w:proofErr w:type="gramEnd"/>
    </w:p>
    <w:p w14:paraId="121F2B6C" w14:textId="77777777" w:rsidR="00D507F6" w:rsidRDefault="00D507F6" w:rsidP="00D507F6">
      <w:pPr>
        <w:spacing w:line="276" w:lineRule="auto"/>
        <w:rPr>
          <w:rFonts w:cstheme="minorHAnsi"/>
          <w:sz w:val="24"/>
          <w:szCs w:val="24"/>
        </w:rPr>
      </w:pPr>
    </w:p>
    <w:p w14:paraId="50D19484" w14:textId="77777777" w:rsidR="00D507F6" w:rsidRDefault="00D507F6" w:rsidP="00D507F6">
      <w:pPr>
        <w:spacing w:line="276" w:lineRule="auto"/>
        <w:rPr>
          <w:rFonts w:cstheme="minorHAnsi"/>
          <w:sz w:val="24"/>
          <w:szCs w:val="24"/>
        </w:rPr>
      </w:pPr>
      <w:r>
        <w:rPr>
          <w:rFonts w:cstheme="minorHAnsi"/>
          <w:sz w:val="24"/>
          <w:szCs w:val="24"/>
        </w:rPr>
        <w:t>Order: _______</w:t>
      </w:r>
    </w:p>
    <w:p w14:paraId="133B7455" w14:textId="77777777" w:rsidR="00D507F6" w:rsidRPr="005F1856" w:rsidRDefault="00D507F6" w:rsidP="00D507F6">
      <w:pPr>
        <w:spacing w:line="276" w:lineRule="auto"/>
        <w:rPr>
          <w:rFonts w:cstheme="minorHAnsi"/>
          <w:sz w:val="24"/>
          <w:szCs w:val="24"/>
        </w:rPr>
      </w:pPr>
      <w:r w:rsidRPr="005F1856">
        <w:rPr>
          <w:rFonts w:cstheme="minorHAnsi"/>
          <w:sz w:val="24"/>
          <w:szCs w:val="24"/>
        </w:rPr>
        <w:t>______________________________________________________________________________</w:t>
      </w:r>
    </w:p>
    <w:p w14:paraId="6AEA9554" w14:textId="77777777" w:rsidR="00D507F6" w:rsidRDefault="00D507F6" w:rsidP="00D507F6">
      <w:pPr>
        <w:spacing w:line="276" w:lineRule="auto"/>
        <w:rPr>
          <w:rFonts w:cstheme="minorHAnsi"/>
          <w:sz w:val="24"/>
          <w:szCs w:val="24"/>
        </w:rPr>
      </w:pPr>
      <w:proofErr w:type="spellStart"/>
      <w:r w:rsidRPr="005F1856">
        <w:rPr>
          <w:rFonts w:cstheme="minorHAnsi"/>
          <w:sz w:val="24"/>
          <w:szCs w:val="24"/>
        </w:rPr>
        <w:t>Yalvac</w:t>
      </w:r>
      <w:proofErr w:type="spellEnd"/>
      <w:r w:rsidRPr="005F1856">
        <w:rPr>
          <w:rFonts w:cstheme="minorHAnsi"/>
          <w:sz w:val="24"/>
          <w:szCs w:val="24"/>
        </w:rPr>
        <w:t xml:space="preserve"> et al. address this gap in their 2007 study of writing in upper level engineering courses when they note that “faculty must do more than embed writing assignments into their class” and instead must “help [students] imagine themselves in a professional role” to help students develop effective communication skills.” (491). </w:t>
      </w:r>
    </w:p>
    <w:p w14:paraId="446F970D" w14:textId="04B41C1A" w:rsidR="00D507F6" w:rsidRPr="009A244C" w:rsidRDefault="00D507F6" w:rsidP="00D507F6">
      <w:pPr>
        <w:spacing w:line="276" w:lineRule="auto"/>
        <w:ind w:left="720" w:hanging="720"/>
        <w:rPr>
          <w:rFonts w:cstheme="minorHAnsi"/>
          <w:sz w:val="20"/>
          <w:szCs w:val="20"/>
        </w:rPr>
      </w:pPr>
      <w:proofErr w:type="spellStart"/>
      <w:r w:rsidRPr="009A244C">
        <w:rPr>
          <w:rFonts w:cstheme="minorHAnsi"/>
          <w:sz w:val="20"/>
          <w:szCs w:val="20"/>
        </w:rPr>
        <w:t>Paretti</w:t>
      </w:r>
      <w:proofErr w:type="spellEnd"/>
      <w:r w:rsidRPr="009A244C">
        <w:rPr>
          <w:rFonts w:cstheme="minorHAnsi"/>
          <w:sz w:val="20"/>
          <w:szCs w:val="20"/>
        </w:rPr>
        <w:t xml:space="preserve">, Marie C., “Teaching Communication in Capstone Design: The Role of the Instructor in Situated Learning.” </w:t>
      </w:r>
      <w:r w:rsidRPr="009A244C">
        <w:rPr>
          <w:rFonts w:cstheme="minorHAnsi"/>
          <w:i/>
          <w:sz w:val="20"/>
          <w:szCs w:val="20"/>
        </w:rPr>
        <w:t>Journal of Engineering Education</w:t>
      </w:r>
      <w:r w:rsidRPr="009A244C">
        <w:rPr>
          <w:rFonts w:cstheme="minorHAnsi"/>
          <w:sz w:val="20"/>
          <w:szCs w:val="20"/>
        </w:rPr>
        <w:t xml:space="preserve">, vol. 97 no. 4, YEAR, pp. 491-503. </w:t>
      </w:r>
      <w:proofErr w:type="spellStart"/>
      <w:r w:rsidRPr="009A244C">
        <w:rPr>
          <w:rFonts w:cstheme="minorHAnsi"/>
          <w:i/>
          <w:sz w:val="20"/>
          <w:szCs w:val="20"/>
        </w:rPr>
        <w:t>ProQuest</w:t>
      </w:r>
      <w:proofErr w:type="spellEnd"/>
      <w:r w:rsidRPr="009A244C">
        <w:rPr>
          <w:rFonts w:cstheme="minorHAnsi"/>
          <w:sz w:val="20"/>
          <w:szCs w:val="20"/>
        </w:rPr>
        <w:t>,</w:t>
      </w:r>
      <w:r w:rsidRPr="009A244C">
        <w:rPr>
          <w:sz w:val="20"/>
          <w:szCs w:val="20"/>
        </w:rPr>
        <w:t xml:space="preserve"> </w:t>
      </w:r>
      <w:r>
        <w:rPr>
          <w:rFonts w:cstheme="minorHAnsi"/>
          <w:sz w:val="20"/>
          <w:szCs w:val="20"/>
        </w:rPr>
        <w:t>proxy.lib.ohio-</w:t>
      </w:r>
      <w:bookmarkStart w:id="0" w:name="_GoBack"/>
      <w:bookmarkEnd w:id="0"/>
      <w:r w:rsidRPr="009A244C">
        <w:rPr>
          <w:rFonts w:cstheme="minorHAnsi"/>
          <w:sz w:val="20"/>
          <w:szCs w:val="20"/>
        </w:rPr>
        <w:t>state.edu/login</w:t>
      </w:r>
      <w:proofErr w:type="gramStart"/>
      <w:r w:rsidRPr="009A244C">
        <w:rPr>
          <w:rFonts w:cstheme="minorHAnsi"/>
          <w:sz w:val="20"/>
          <w:szCs w:val="20"/>
        </w:rPr>
        <w:t>?url</w:t>
      </w:r>
      <w:proofErr w:type="gramEnd"/>
      <w:r w:rsidRPr="009A244C">
        <w:rPr>
          <w:rFonts w:cstheme="minorHAnsi"/>
          <w:sz w:val="20"/>
          <w:szCs w:val="20"/>
        </w:rPr>
        <w:t xml:space="preserve">=http://search.proquest.com/docview/217948205?account id=9783. </w:t>
      </w:r>
    </w:p>
    <w:p w14:paraId="080297FB" w14:textId="77777777" w:rsidR="00D507F6" w:rsidRDefault="00D507F6" w:rsidP="00D507F6">
      <w:pPr>
        <w:spacing w:line="276" w:lineRule="auto"/>
        <w:rPr>
          <w:rFonts w:cstheme="minorHAnsi"/>
          <w:sz w:val="24"/>
          <w:szCs w:val="24"/>
        </w:rPr>
      </w:pPr>
    </w:p>
    <w:p w14:paraId="668D2BE2" w14:textId="77777777" w:rsidR="00D507F6" w:rsidRDefault="00D507F6" w:rsidP="00D507F6">
      <w:pPr>
        <w:spacing w:line="276" w:lineRule="auto"/>
        <w:rPr>
          <w:rFonts w:cstheme="minorHAnsi"/>
          <w:sz w:val="24"/>
          <w:szCs w:val="24"/>
        </w:rPr>
      </w:pPr>
      <w:r>
        <w:rPr>
          <w:rFonts w:cstheme="minorHAnsi"/>
          <w:sz w:val="24"/>
          <w:szCs w:val="24"/>
        </w:rPr>
        <w:t>Order: _______</w:t>
      </w:r>
    </w:p>
    <w:p w14:paraId="50D963AD" w14:textId="77777777" w:rsidR="00D507F6" w:rsidRPr="005F1856" w:rsidRDefault="00D507F6" w:rsidP="00D507F6">
      <w:pPr>
        <w:spacing w:line="276" w:lineRule="auto"/>
        <w:rPr>
          <w:rFonts w:cstheme="minorHAnsi"/>
          <w:sz w:val="24"/>
          <w:szCs w:val="24"/>
        </w:rPr>
      </w:pPr>
      <w:r w:rsidRPr="005F1856">
        <w:rPr>
          <w:rFonts w:cstheme="minorHAnsi"/>
          <w:sz w:val="24"/>
          <w:szCs w:val="24"/>
        </w:rPr>
        <w:t>______________________________________________________________________________</w:t>
      </w:r>
    </w:p>
    <w:p w14:paraId="3ED1D73D" w14:textId="77777777" w:rsidR="00D507F6" w:rsidRDefault="00D507F6" w:rsidP="00D507F6">
      <w:pPr>
        <w:spacing w:line="276" w:lineRule="auto"/>
        <w:rPr>
          <w:rFonts w:cstheme="minorHAnsi"/>
          <w:sz w:val="24"/>
          <w:szCs w:val="24"/>
        </w:rPr>
      </w:pPr>
      <w:proofErr w:type="spellStart"/>
      <w:r w:rsidRPr="005F1856">
        <w:rPr>
          <w:rFonts w:cstheme="minorHAnsi"/>
          <w:sz w:val="24"/>
          <w:szCs w:val="24"/>
        </w:rPr>
        <w:t>Delpit</w:t>
      </w:r>
      <w:proofErr w:type="spellEnd"/>
      <w:r w:rsidRPr="005F1856">
        <w:rPr>
          <w:rFonts w:cstheme="minorHAnsi"/>
          <w:sz w:val="24"/>
          <w:szCs w:val="24"/>
        </w:rPr>
        <w:t xml:space="preserve"> (1993), in “The Politics of Teaching Literature Discourse,” notes the dilemma instructors feel when teaching non-mainstream students to conform to mainstream standards. She wonders, “Does it not smack of racism or classism to demand that these students put aside the language of their homes and communities and adopt a discourse that is not only alien, but that has been instrumental in furthering their oppression?” </w:t>
      </w:r>
      <w:proofErr w:type="gramStart"/>
      <w:r w:rsidRPr="005F1856">
        <w:rPr>
          <w:rFonts w:cstheme="minorHAnsi"/>
          <w:sz w:val="24"/>
          <w:szCs w:val="24"/>
        </w:rPr>
        <w:t>(</w:t>
      </w:r>
      <w:proofErr w:type="spellStart"/>
      <w:r w:rsidRPr="005F1856">
        <w:rPr>
          <w:rFonts w:cstheme="minorHAnsi"/>
          <w:sz w:val="24"/>
          <w:szCs w:val="24"/>
        </w:rPr>
        <w:t>Delpit</w:t>
      </w:r>
      <w:proofErr w:type="spellEnd"/>
      <w:r w:rsidRPr="005F1856">
        <w:rPr>
          <w:rFonts w:cstheme="minorHAnsi"/>
          <w:sz w:val="24"/>
          <w:szCs w:val="24"/>
        </w:rPr>
        <w:t>, 1993, p. 207).</w:t>
      </w:r>
      <w:proofErr w:type="gramEnd"/>
      <w:r w:rsidRPr="005F1856">
        <w:rPr>
          <w:rFonts w:cstheme="minorHAnsi"/>
          <w:sz w:val="24"/>
          <w:szCs w:val="24"/>
        </w:rPr>
        <w:t xml:space="preserve"> (101).  </w:t>
      </w:r>
    </w:p>
    <w:p w14:paraId="133B0E83" w14:textId="77777777" w:rsidR="00D507F6" w:rsidRPr="009A244C" w:rsidRDefault="00D507F6" w:rsidP="00D507F6">
      <w:pPr>
        <w:spacing w:line="276" w:lineRule="auto"/>
        <w:ind w:left="720" w:hanging="720"/>
        <w:rPr>
          <w:rFonts w:cstheme="minorHAnsi"/>
          <w:sz w:val="20"/>
          <w:szCs w:val="20"/>
        </w:rPr>
      </w:pPr>
      <w:proofErr w:type="spellStart"/>
      <w:r w:rsidRPr="009A244C">
        <w:rPr>
          <w:rFonts w:cstheme="minorHAnsi"/>
          <w:sz w:val="20"/>
          <w:szCs w:val="20"/>
        </w:rPr>
        <w:t>Bazerman</w:t>
      </w:r>
      <w:proofErr w:type="spellEnd"/>
      <w:r w:rsidRPr="009A244C">
        <w:rPr>
          <w:rFonts w:cstheme="minorHAnsi"/>
          <w:sz w:val="20"/>
          <w:szCs w:val="20"/>
        </w:rPr>
        <w:t xml:space="preserve">, Charles. “On-Going Concerns: The Place of Students in Disciplinary Discourses.” </w:t>
      </w:r>
      <w:r w:rsidRPr="009A244C">
        <w:rPr>
          <w:rFonts w:cstheme="minorHAnsi"/>
          <w:i/>
          <w:sz w:val="20"/>
          <w:szCs w:val="20"/>
        </w:rPr>
        <w:t>Reference Guide to Writing Across the Curriculum</w:t>
      </w:r>
      <w:r w:rsidRPr="009A244C">
        <w:rPr>
          <w:rFonts w:cstheme="minorHAnsi"/>
          <w:sz w:val="20"/>
          <w:szCs w:val="20"/>
        </w:rPr>
        <w:t xml:space="preserve">, Parlor Press &amp; WAC Clearinghouse, pp. 98-104.  </w:t>
      </w:r>
    </w:p>
    <w:p w14:paraId="5BA878C7" w14:textId="77777777" w:rsidR="00D507F6" w:rsidRDefault="00D507F6" w:rsidP="00D507F6">
      <w:pPr>
        <w:spacing w:line="276" w:lineRule="auto"/>
        <w:rPr>
          <w:rFonts w:cstheme="minorHAnsi"/>
          <w:sz w:val="24"/>
          <w:szCs w:val="24"/>
        </w:rPr>
      </w:pPr>
    </w:p>
    <w:p w14:paraId="692E452E" w14:textId="77777777" w:rsidR="00D507F6" w:rsidRDefault="00D507F6" w:rsidP="00D507F6">
      <w:pPr>
        <w:spacing w:line="276" w:lineRule="auto"/>
        <w:rPr>
          <w:rFonts w:cstheme="minorHAnsi"/>
          <w:sz w:val="24"/>
          <w:szCs w:val="24"/>
        </w:rPr>
      </w:pPr>
      <w:r>
        <w:rPr>
          <w:rFonts w:cstheme="minorHAnsi"/>
          <w:sz w:val="24"/>
          <w:szCs w:val="24"/>
        </w:rPr>
        <w:t>Order: ______</w:t>
      </w:r>
    </w:p>
    <w:p w14:paraId="2F20DC37" w14:textId="77777777" w:rsidR="00D507F6" w:rsidRPr="005F1856" w:rsidRDefault="00D507F6" w:rsidP="00D507F6">
      <w:pPr>
        <w:spacing w:line="276" w:lineRule="auto"/>
        <w:rPr>
          <w:rFonts w:cstheme="minorHAnsi"/>
          <w:sz w:val="24"/>
          <w:szCs w:val="24"/>
        </w:rPr>
      </w:pPr>
      <w:r w:rsidRPr="005F1856">
        <w:rPr>
          <w:rFonts w:cstheme="minorHAnsi"/>
          <w:sz w:val="24"/>
          <w:szCs w:val="24"/>
        </w:rPr>
        <w:t>______________________________________________________________________________</w:t>
      </w:r>
    </w:p>
    <w:p w14:paraId="1AACF00B" w14:textId="77777777" w:rsidR="00D507F6" w:rsidRDefault="00D507F6" w:rsidP="00D507F6">
      <w:pPr>
        <w:spacing w:line="276" w:lineRule="auto"/>
        <w:rPr>
          <w:rFonts w:cstheme="minorHAnsi"/>
          <w:color w:val="222222"/>
          <w:sz w:val="24"/>
          <w:szCs w:val="24"/>
          <w:shd w:val="clear" w:color="auto" w:fill="FFFFFF"/>
        </w:rPr>
      </w:pPr>
      <w:r w:rsidRPr="005F1856">
        <w:rPr>
          <w:rFonts w:cstheme="minorHAnsi"/>
          <w:color w:val="222222"/>
          <w:sz w:val="24"/>
          <w:szCs w:val="24"/>
          <w:shd w:val="clear" w:color="auto" w:fill="FFFFFF"/>
        </w:rPr>
        <w:t>Second, though true acquisition is probably not possible, “</w:t>
      </w:r>
      <w:proofErr w:type="spellStart"/>
      <w:r w:rsidRPr="005F1856">
        <w:rPr>
          <w:rFonts w:cstheme="minorHAnsi"/>
          <w:color w:val="222222"/>
          <w:sz w:val="24"/>
          <w:szCs w:val="24"/>
          <w:shd w:val="clear" w:color="auto" w:fill="FFFFFF"/>
        </w:rPr>
        <w:t>mushfake</w:t>
      </w:r>
      <w:proofErr w:type="spellEnd"/>
      <w:r w:rsidRPr="005F1856">
        <w:rPr>
          <w:rFonts w:cstheme="minorHAnsi"/>
          <w:color w:val="222222"/>
          <w:sz w:val="24"/>
          <w:szCs w:val="24"/>
          <w:shd w:val="clear" w:color="auto" w:fill="FFFFFF"/>
        </w:rPr>
        <w:t>” Discourse is possible. Mack (in press) defines “</w:t>
      </w:r>
      <w:proofErr w:type="spellStart"/>
      <w:r w:rsidRPr="005F1856">
        <w:rPr>
          <w:rFonts w:cstheme="minorHAnsi"/>
          <w:color w:val="222222"/>
          <w:sz w:val="24"/>
          <w:szCs w:val="24"/>
          <w:shd w:val="clear" w:color="auto" w:fill="FFFFFF"/>
        </w:rPr>
        <w:t>mushfake</w:t>
      </w:r>
      <w:proofErr w:type="spellEnd"/>
      <w:r w:rsidRPr="005F1856">
        <w:rPr>
          <w:rFonts w:cstheme="minorHAnsi"/>
          <w:color w:val="222222"/>
          <w:sz w:val="24"/>
          <w:szCs w:val="24"/>
          <w:shd w:val="clear" w:color="auto" w:fill="FFFFFF"/>
        </w:rPr>
        <w:t xml:space="preserve">,” a term from prison culture, as making “do with something less when the real thing is not available. So when prison inmates make hats from underwear to protect their hair from lice, the hats are </w:t>
      </w:r>
      <w:proofErr w:type="spellStart"/>
      <w:r w:rsidRPr="005F1856">
        <w:rPr>
          <w:rFonts w:cstheme="minorHAnsi"/>
          <w:color w:val="222222"/>
          <w:sz w:val="24"/>
          <w:szCs w:val="24"/>
          <w:shd w:val="clear" w:color="auto" w:fill="FFFFFF"/>
        </w:rPr>
        <w:t>mushfake</w:t>
      </w:r>
      <w:proofErr w:type="spellEnd"/>
      <w:r w:rsidRPr="005F1856">
        <w:rPr>
          <w:rFonts w:cstheme="minorHAnsi"/>
          <w:color w:val="222222"/>
          <w:sz w:val="24"/>
          <w:szCs w:val="24"/>
          <w:shd w:val="clear" w:color="auto" w:fill="FFFFFF"/>
        </w:rPr>
        <w:t xml:space="preserve">. Elaborate craft items made from used wooden match sticks are another example of </w:t>
      </w:r>
      <w:proofErr w:type="spellStart"/>
      <w:r w:rsidRPr="005F1856">
        <w:rPr>
          <w:rFonts w:cstheme="minorHAnsi"/>
          <w:color w:val="222222"/>
          <w:sz w:val="24"/>
          <w:szCs w:val="24"/>
          <w:shd w:val="clear" w:color="auto" w:fill="FFFFFF"/>
        </w:rPr>
        <w:t>mushfake</w:t>
      </w:r>
      <w:proofErr w:type="spellEnd"/>
      <w:r w:rsidRPr="005F1856">
        <w:rPr>
          <w:rFonts w:cstheme="minorHAnsi"/>
          <w:color w:val="222222"/>
          <w:sz w:val="24"/>
          <w:szCs w:val="24"/>
          <w:shd w:val="clear" w:color="auto" w:fill="FFFFFF"/>
        </w:rPr>
        <w:t xml:space="preserve">.” (13). </w:t>
      </w:r>
    </w:p>
    <w:p w14:paraId="7781831A" w14:textId="77777777" w:rsidR="00D507F6" w:rsidRPr="009A244C" w:rsidRDefault="00D507F6" w:rsidP="00D507F6">
      <w:pPr>
        <w:spacing w:line="276" w:lineRule="auto"/>
        <w:ind w:left="720" w:hanging="720"/>
        <w:rPr>
          <w:rFonts w:cstheme="minorHAnsi"/>
          <w:color w:val="222222"/>
          <w:sz w:val="20"/>
          <w:szCs w:val="20"/>
          <w:shd w:val="clear" w:color="auto" w:fill="FFFFFF"/>
        </w:rPr>
      </w:pPr>
      <w:r w:rsidRPr="009A244C">
        <w:rPr>
          <w:rFonts w:cstheme="minorHAnsi"/>
          <w:color w:val="222222"/>
          <w:sz w:val="20"/>
          <w:szCs w:val="20"/>
          <w:shd w:val="clear" w:color="auto" w:fill="FFFFFF"/>
        </w:rPr>
        <w:t>Gee, James Paul. “Literacy, Discourse, and Linguistics: Introduction.”</w:t>
      </w:r>
      <w:r w:rsidRPr="009A244C">
        <w:rPr>
          <w:rStyle w:val="apple-converted-space"/>
          <w:rFonts w:cstheme="minorHAnsi"/>
          <w:color w:val="222222"/>
          <w:sz w:val="20"/>
          <w:szCs w:val="20"/>
          <w:shd w:val="clear" w:color="auto" w:fill="FFFFFF"/>
        </w:rPr>
        <w:t> </w:t>
      </w:r>
      <w:r w:rsidRPr="009A244C">
        <w:rPr>
          <w:rFonts w:cstheme="minorHAnsi"/>
          <w:i/>
          <w:iCs/>
          <w:color w:val="222222"/>
          <w:sz w:val="20"/>
          <w:szCs w:val="20"/>
          <w:shd w:val="clear" w:color="auto" w:fill="FFFFFF"/>
        </w:rPr>
        <w:t>Journal of Education</w:t>
      </w:r>
      <w:r w:rsidRPr="009A244C">
        <w:rPr>
          <w:rFonts w:cstheme="minorHAnsi"/>
          <w:color w:val="222222"/>
          <w:sz w:val="20"/>
          <w:szCs w:val="20"/>
          <w:shd w:val="clear" w:color="auto" w:fill="FFFFFF"/>
        </w:rPr>
        <w:t xml:space="preserve">, vol. 171, no. 1, pp. 5–17. </w:t>
      </w:r>
      <w:proofErr w:type="gramStart"/>
      <w:r w:rsidRPr="009A244C">
        <w:rPr>
          <w:rFonts w:cstheme="minorHAnsi"/>
          <w:i/>
          <w:color w:val="222222"/>
          <w:sz w:val="20"/>
          <w:szCs w:val="20"/>
          <w:shd w:val="clear" w:color="auto" w:fill="FFFFFF"/>
        </w:rPr>
        <w:t>JSTOR</w:t>
      </w:r>
      <w:r w:rsidRPr="009A244C">
        <w:rPr>
          <w:rFonts w:cstheme="minorHAnsi"/>
          <w:color w:val="222222"/>
          <w:sz w:val="20"/>
          <w:szCs w:val="20"/>
          <w:shd w:val="clear" w:color="auto" w:fill="FFFFFF"/>
        </w:rPr>
        <w:t xml:space="preserve">, </w:t>
      </w:r>
      <w:r w:rsidRPr="009A244C">
        <w:rPr>
          <w:rFonts w:cstheme="minorHAnsi"/>
          <w:sz w:val="20"/>
          <w:szCs w:val="20"/>
          <w:shd w:val="clear" w:color="auto" w:fill="FFFFFF"/>
        </w:rPr>
        <w:t>www.jstor.org/stable/42743865</w:t>
      </w:r>
      <w:r w:rsidRPr="009A244C">
        <w:rPr>
          <w:rFonts w:cstheme="minorHAnsi"/>
          <w:color w:val="222222"/>
          <w:sz w:val="20"/>
          <w:szCs w:val="20"/>
          <w:shd w:val="clear" w:color="auto" w:fill="FFFFFF"/>
        </w:rPr>
        <w:t>.</w:t>
      </w:r>
      <w:proofErr w:type="gramEnd"/>
      <w:r w:rsidRPr="009A244C">
        <w:rPr>
          <w:rFonts w:cstheme="minorHAnsi"/>
          <w:color w:val="222222"/>
          <w:sz w:val="20"/>
          <w:szCs w:val="20"/>
          <w:shd w:val="clear" w:color="auto" w:fill="FFFFFF"/>
        </w:rPr>
        <w:t xml:space="preserve"> </w:t>
      </w:r>
    </w:p>
    <w:p w14:paraId="3E8F639F" w14:textId="77777777" w:rsidR="00D507F6" w:rsidRDefault="00D507F6" w:rsidP="00D507F6">
      <w:pPr>
        <w:spacing w:line="276" w:lineRule="auto"/>
        <w:rPr>
          <w:rFonts w:cstheme="minorHAnsi"/>
          <w:color w:val="222222"/>
          <w:sz w:val="24"/>
          <w:szCs w:val="24"/>
          <w:shd w:val="clear" w:color="auto" w:fill="FFFFFF"/>
        </w:rPr>
      </w:pPr>
    </w:p>
    <w:p w14:paraId="1DEDA940" w14:textId="77777777" w:rsidR="00D507F6" w:rsidRDefault="00D507F6" w:rsidP="00D507F6">
      <w:pPr>
        <w:spacing w:line="276" w:lineRule="auto"/>
        <w:rPr>
          <w:rFonts w:cstheme="minorHAnsi"/>
          <w:sz w:val="24"/>
          <w:szCs w:val="24"/>
        </w:rPr>
      </w:pPr>
      <w:r>
        <w:rPr>
          <w:rFonts w:cstheme="minorHAnsi"/>
          <w:sz w:val="24"/>
          <w:szCs w:val="24"/>
        </w:rPr>
        <w:t>Order: _______</w:t>
      </w:r>
    </w:p>
    <w:p w14:paraId="4182B199" w14:textId="77777777" w:rsidR="00D507F6" w:rsidRPr="005F1856" w:rsidRDefault="00D507F6" w:rsidP="00D507F6">
      <w:pPr>
        <w:spacing w:line="276" w:lineRule="auto"/>
        <w:rPr>
          <w:rFonts w:cstheme="minorHAnsi"/>
          <w:sz w:val="24"/>
          <w:szCs w:val="24"/>
        </w:rPr>
      </w:pPr>
      <w:r w:rsidRPr="005F1856">
        <w:rPr>
          <w:rFonts w:cstheme="minorHAnsi"/>
          <w:sz w:val="24"/>
          <w:szCs w:val="24"/>
        </w:rPr>
        <w:t>______________________________________________________________________________</w:t>
      </w:r>
    </w:p>
    <w:p w14:paraId="4DE42102" w14:textId="77777777" w:rsidR="00D507F6" w:rsidRDefault="00D507F6" w:rsidP="00D507F6">
      <w:pPr>
        <w:tabs>
          <w:tab w:val="left" w:pos="0"/>
        </w:tabs>
        <w:spacing w:line="276" w:lineRule="auto"/>
        <w:rPr>
          <w:rFonts w:cstheme="minorHAnsi"/>
          <w:sz w:val="24"/>
          <w:szCs w:val="24"/>
        </w:rPr>
      </w:pPr>
      <w:r w:rsidRPr="005F1856">
        <w:rPr>
          <w:rFonts w:cstheme="minorHAnsi"/>
          <w:sz w:val="24"/>
          <w:szCs w:val="24"/>
        </w:rPr>
        <w:t xml:space="preserve">In spite of the movement to incorporate student writing contextually in courses within one’s discipline and the research supporting this endeavor (succinctly summarized by </w:t>
      </w:r>
      <w:proofErr w:type="spellStart"/>
      <w:r w:rsidRPr="005F1856">
        <w:rPr>
          <w:rFonts w:cstheme="minorHAnsi"/>
          <w:sz w:val="24"/>
          <w:szCs w:val="24"/>
        </w:rPr>
        <w:t>Bazerman</w:t>
      </w:r>
      <w:proofErr w:type="spellEnd"/>
      <w:r w:rsidRPr="005F1856">
        <w:rPr>
          <w:rFonts w:cstheme="minorHAnsi"/>
          <w:sz w:val="24"/>
          <w:szCs w:val="24"/>
        </w:rPr>
        <w:t xml:space="preserve"> et al. [4]), faculty are often on their own when it comes to designing integrated writing instruction. Even those faculty members who appreciate the merit of offering writing in content areas may be reluctant to add writing exercises because of the additional work such exercises may entail. (118).</w:t>
      </w:r>
    </w:p>
    <w:p w14:paraId="43D32F2E" w14:textId="77777777" w:rsidR="00D507F6" w:rsidRPr="009A244C" w:rsidRDefault="00D507F6" w:rsidP="00D507F6">
      <w:pPr>
        <w:spacing w:line="276" w:lineRule="auto"/>
        <w:ind w:left="720" w:hanging="720"/>
        <w:rPr>
          <w:rFonts w:cstheme="minorHAnsi"/>
          <w:sz w:val="20"/>
          <w:szCs w:val="20"/>
        </w:rPr>
      </w:pPr>
      <w:proofErr w:type="spellStart"/>
      <w:r w:rsidRPr="009A244C">
        <w:rPr>
          <w:rFonts w:cstheme="minorHAnsi"/>
          <w:sz w:val="20"/>
          <w:szCs w:val="20"/>
        </w:rPr>
        <w:t>Yalvac</w:t>
      </w:r>
      <w:proofErr w:type="spellEnd"/>
      <w:r w:rsidRPr="009A244C">
        <w:rPr>
          <w:rFonts w:cstheme="minorHAnsi"/>
          <w:sz w:val="20"/>
          <w:szCs w:val="20"/>
        </w:rPr>
        <w:t xml:space="preserve">, B. et al. “Promoting Advanced Writing Skills in an Upper-level Engineering Class.” </w:t>
      </w:r>
      <w:r w:rsidRPr="009A244C">
        <w:rPr>
          <w:rFonts w:cstheme="minorHAnsi"/>
          <w:i/>
          <w:sz w:val="20"/>
          <w:szCs w:val="20"/>
        </w:rPr>
        <w:t>Journal of Engineering Education</w:t>
      </w:r>
      <w:r w:rsidRPr="009A244C">
        <w:rPr>
          <w:rFonts w:cstheme="minorHAnsi"/>
          <w:sz w:val="20"/>
          <w:szCs w:val="20"/>
        </w:rPr>
        <w:t xml:space="preserve">, vol. 96, no. 2, pp. 117-28. </w:t>
      </w:r>
      <w:proofErr w:type="spellStart"/>
      <w:r w:rsidRPr="009A244C">
        <w:rPr>
          <w:rFonts w:cstheme="minorHAnsi"/>
          <w:i/>
          <w:sz w:val="20"/>
          <w:szCs w:val="20"/>
        </w:rPr>
        <w:t>ProQuest</w:t>
      </w:r>
      <w:proofErr w:type="spellEnd"/>
      <w:r w:rsidRPr="009A244C">
        <w:rPr>
          <w:rFonts w:cstheme="minorHAnsi"/>
          <w:sz w:val="20"/>
          <w:szCs w:val="20"/>
        </w:rPr>
        <w:t>, proxy.lib.ohio-state.edu/login</w:t>
      </w:r>
      <w:proofErr w:type="gramStart"/>
      <w:r w:rsidRPr="009A244C">
        <w:rPr>
          <w:rFonts w:cstheme="minorHAnsi"/>
          <w:sz w:val="20"/>
          <w:szCs w:val="20"/>
        </w:rPr>
        <w:t>?url</w:t>
      </w:r>
      <w:proofErr w:type="gramEnd"/>
      <w:r w:rsidRPr="009A244C">
        <w:rPr>
          <w:rFonts w:cstheme="minorHAnsi"/>
          <w:sz w:val="20"/>
          <w:szCs w:val="20"/>
        </w:rPr>
        <w:t xml:space="preserve">=http://search.proquest.com/docview/217962532?accountid=9783. </w:t>
      </w:r>
    </w:p>
    <w:p w14:paraId="17C5CF4E" w14:textId="77777777" w:rsidR="00D507F6" w:rsidRDefault="00D507F6" w:rsidP="00D507F6">
      <w:pPr>
        <w:tabs>
          <w:tab w:val="left" w:pos="0"/>
        </w:tabs>
        <w:spacing w:line="276" w:lineRule="auto"/>
        <w:rPr>
          <w:rFonts w:cstheme="minorHAnsi"/>
          <w:sz w:val="24"/>
          <w:szCs w:val="24"/>
        </w:rPr>
      </w:pPr>
    </w:p>
    <w:p w14:paraId="1AAEA3C7" w14:textId="77777777" w:rsidR="00D507F6" w:rsidRDefault="00D507F6" w:rsidP="00D507F6">
      <w:pPr>
        <w:spacing w:line="276" w:lineRule="auto"/>
        <w:rPr>
          <w:sz w:val="24"/>
          <w:szCs w:val="24"/>
        </w:rPr>
      </w:pPr>
      <w:r>
        <w:rPr>
          <w:rFonts w:cstheme="minorHAnsi"/>
          <w:sz w:val="24"/>
          <w:szCs w:val="24"/>
        </w:rPr>
        <w:t>Order: _______</w:t>
      </w:r>
    </w:p>
    <w:p w14:paraId="59CE4F74" w14:textId="096AE0BF" w:rsidR="00941A8D" w:rsidRPr="00D507F6" w:rsidRDefault="00941A8D" w:rsidP="00B4314A">
      <w:pPr>
        <w:rPr>
          <w:sz w:val="24"/>
          <w:szCs w:val="24"/>
        </w:rPr>
      </w:pPr>
    </w:p>
    <w:sectPr w:rsidR="00941A8D" w:rsidRPr="00D507F6" w:rsidSect="001F35A1">
      <w:headerReference w:type="default" r:id="rId8"/>
      <w:footerReference w:type="default" r:id="rId9"/>
      <w:pgSz w:w="12240" w:h="15840"/>
      <w:pgMar w:top="1440" w:right="1800" w:bottom="1440" w:left="1800" w:header="720" w:footer="4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D86C6" w14:textId="77777777" w:rsidR="00B4314A" w:rsidRDefault="00B4314A" w:rsidP="00CE0716">
      <w:r>
        <w:separator/>
      </w:r>
    </w:p>
  </w:endnote>
  <w:endnote w:type="continuationSeparator" w:id="0">
    <w:p w14:paraId="4E008116" w14:textId="77777777" w:rsidR="00B4314A" w:rsidRDefault="00B4314A" w:rsidP="00CE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61B81" w14:textId="77777777" w:rsidR="00B4314A" w:rsidRPr="00CE0716" w:rsidRDefault="00B4314A">
    <w:pPr>
      <w:pStyle w:val="Footer"/>
      <w:rPr>
        <w:rFonts w:ascii="Arial" w:hAnsi="Arial"/>
        <w:sz w:val="18"/>
        <w:szCs w:val="18"/>
      </w:rPr>
    </w:pPr>
    <w:r w:rsidRPr="00CE0716">
      <w:rPr>
        <w:rFonts w:ascii="Arial" w:hAnsi="Arial" w:cs="Arial"/>
        <w:noProof/>
        <w:sz w:val="18"/>
        <w:szCs w:val="18"/>
      </w:rPr>
      <w:drawing>
        <wp:anchor distT="0" distB="0" distL="114300" distR="114300" simplePos="0" relativeHeight="251659264" behindDoc="0" locked="0" layoutInCell="1" allowOverlap="1" wp14:anchorId="5DCA5C6A" wp14:editId="3748378F">
          <wp:simplePos x="0" y="0"/>
          <wp:positionH relativeFrom="column">
            <wp:posOffset>0</wp:posOffset>
          </wp:positionH>
          <wp:positionV relativeFrom="paragraph">
            <wp:posOffset>635</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716">
      <w:rPr>
        <w:rFonts w:ascii="Arial" w:hAnsi="Arial"/>
        <w:sz w:val="18"/>
        <w:szCs w:val="18"/>
      </w:rPr>
      <w:tab/>
    </w:r>
    <w:r w:rsidRPr="00CE0716">
      <w:rPr>
        <w:rFonts w:ascii="Arial" w:hAnsi="Arial"/>
        <w:sz w:val="18"/>
        <w:szCs w:val="18"/>
      </w:rPr>
      <w:tab/>
      <w:t>CC BY 4.0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AE84F" w14:textId="77777777" w:rsidR="00B4314A" w:rsidRDefault="00B4314A" w:rsidP="00CE0716">
      <w:r>
        <w:separator/>
      </w:r>
    </w:p>
  </w:footnote>
  <w:footnote w:type="continuationSeparator" w:id="0">
    <w:p w14:paraId="4F63AEAE" w14:textId="77777777" w:rsidR="00B4314A" w:rsidRDefault="00B4314A" w:rsidP="00CE07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2C6CF" w14:textId="024FAC3B" w:rsidR="00B4314A" w:rsidRPr="00CE0716" w:rsidRDefault="00B4314A" w:rsidP="005F4EB1">
    <w:pPr>
      <w:pStyle w:val="Header"/>
      <w:spacing w:line="240" w:lineRule="auto"/>
      <w:contextualSpacing/>
      <w:rPr>
        <w:rFonts w:ascii="Arial" w:hAnsi="Arial"/>
        <w:sz w:val="18"/>
        <w:szCs w:val="18"/>
      </w:rPr>
    </w:pPr>
    <w:r w:rsidRPr="00CE0716">
      <w:rPr>
        <w:rFonts w:ascii="Arial" w:hAnsi="Arial"/>
        <w:sz w:val="18"/>
        <w:szCs w:val="18"/>
      </w:rPr>
      <w:t>Choos</w:t>
    </w:r>
    <w:r>
      <w:rPr>
        <w:rFonts w:ascii="Arial" w:hAnsi="Arial"/>
        <w:sz w:val="18"/>
        <w:szCs w:val="18"/>
      </w:rPr>
      <w:t>i</w:t>
    </w:r>
    <w:r w:rsidR="00D253E9">
      <w:rPr>
        <w:rFonts w:ascii="Arial" w:hAnsi="Arial"/>
        <w:sz w:val="18"/>
        <w:szCs w:val="18"/>
      </w:rPr>
      <w:t>ng &amp; Using Sources:</w:t>
    </w:r>
    <w:r w:rsidR="00D253E9">
      <w:rPr>
        <w:rFonts w:ascii="Arial" w:hAnsi="Arial"/>
        <w:sz w:val="18"/>
        <w:szCs w:val="18"/>
      </w:rPr>
      <w:tab/>
    </w:r>
    <w:r w:rsidR="00D253E9">
      <w:rPr>
        <w:rFonts w:ascii="Arial" w:hAnsi="Arial"/>
        <w:sz w:val="18"/>
        <w:szCs w:val="18"/>
      </w:rPr>
      <w:tab/>
      <w:t>Activity 8D</w:t>
    </w:r>
  </w:p>
  <w:p w14:paraId="05CFB3BE" w14:textId="1C285D63" w:rsidR="00B4314A" w:rsidRPr="00CE0716" w:rsidRDefault="00B4314A" w:rsidP="005F4EB1">
    <w:pPr>
      <w:pStyle w:val="Header"/>
      <w:spacing w:line="240" w:lineRule="auto"/>
      <w:contextualSpacing/>
      <w:rPr>
        <w:rFonts w:ascii="Arial" w:hAnsi="Arial"/>
        <w:sz w:val="18"/>
        <w:szCs w:val="18"/>
      </w:rPr>
    </w:pPr>
    <w:r w:rsidRPr="00CE0716">
      <w:rPr>
        <w:rFonts w:ascii="Arial" w:hAnsi="Arial"/>
        <w:sz w:val="18"/>
        <w:szCs w:val="18"/>
      </w:rPr>
      <w:t>Instructor Resources</w:t>
    </w:r>
    <w:r w:rsidRPr="00CE0716">
      <w:rPr>
        <w:rFonts w:ascii="Arial" w:hAnsi="Arial"/>
        <w:sz w:val="18"/>
        <w:szCs w:val="18"/>
      </w:rPr>
      <w:tab/>
    </w:r>
    <w:r w:rsidRPr="00CE0716">
      <w:rPr>
        <w:rFonts w:ascii="Arial" w:hAnsi="Arial"/>
        <w:sz w:val="18"/>
        <w:szCs w:val="18"/>
      </w:rPr>
      <w:tab/>
    </w:r>
    <w:r w:rsidR="00D253E9">
      <w:rPr>
        <w:rFonts w:ascii="Arial" w:hAnsi="Arial"/>
        <w:sz w:val="18"/>
        <w:szCs w:val="18"/>
      </w:rPr>
      <w:t>HANDOUT 8D</w:t>
    </w:r>
    <w:r>
      <w:rPr>
        <w:rFonts w:ascii="Arial" w:hAnsi="Arial"/>
        <w:sz w:val="18"/>
        <w:szCs w:val="18"/>
      </w:rPr>
      <w:t>-1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14B4"/>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664CF"/>
    <w:multiLevelType w:val="hybridMultilevel"/>
    <w:tmpl w:val="56A8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E3C95"/>
    <w:multiLevelType w:val="hybridMultilevel"/>
    <w:tmpl w:val="6ECC0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F51BA"/>
    <w:multiLevelType w:val="hybridMultilevel"/>
    <w:tmpl w:val="D2F46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C1750"/>
    <w:multiLevelType w:val="hybridMultilevel"/>
    <w:tmpl w:val="0C2C4ADA"/>
    <w:lvl w:ilvl="0" w:tplc="4380D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5F77FB"/>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C35121"/>
    <w:multiLevelType w:val="hybridMultilevel"/>
    <w:tmpl w:val="482AD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89555C"/>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D8219C"/>
    <w:multiLevelType w:val="hybridMultilevel"/>
    <w:tmpl w:val="DB7C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FD5603"/>
    <w:multiLevelType w:val="hybridMultilevel"/>
    <w:tmpl w:val="05B0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1873CC"/>
    <w:multiLevelType w:val="hybridMultilevel"/>
    <w:tmpl w:val="62BE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4C2CCC"/>
    <w:multiLevelType w:val="hybridMultilevel"/>
    <w:tmpl w:val="C298F58E"/>
    <w:lvl w:ilvl="0" w:tplc="71F89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F334B99"/>
    <w:multiLevelType w:val="hybridMultilevel"/>
    <w:tmpl w:val="D710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EC40BA"/>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43543A6F"/>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D30B09"/>
    <w:multiLevelType w:val="hybridMultilevel"/>
    <w:tmpl w:val="CA8C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E35091"/>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AC3CCB"/>
    <w:multiLevelType w:val="hybridMultilevel"/>
    <w:tmpl w:val="E9AE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14081C"/>
    <w:multiLevelType w:val="hybridMultilevel"/>
    <w:tmpl w:val="B0289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913EAC"/>
    <w:multiLevelType w:val="hybridMultilevel"/>
    <w:tmpl w:val="9DC03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F9010C"/>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nsid w:val="61A827EA"/>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B61DD4"/>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nsid w:val="6C3C7852"/>
    <w:multiLevelType w:val="hybridMultilevel"/>
    <w:tmpl w:val="0454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D57A16"/>
    <w:multiLevelType w:val="hybridMultilevel"/>
    <w:tmpl w:val="CDF25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5342E9"/>
    <w:multiLevelType w:val="hybridMultilevel"/>
    <w:tmpl w:val="464A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AC28C2"/>
    <w:multiLevelType w:val="hybridMultilevel"/>
    <w:tmpl w:val="C400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F116E4"/>
    <w:multiLevelType w:val="hybridMultilevel"/>
    <w:tmpl w:val="9C0C0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FA1071F"/>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6"/>
  </w:num>
  <w:num w:numId="2">
    <w:abstractNumId w:val="10"/>
  </w:num>
  <w:num w:numId="3">
    <w:abstractNumId w:val="12"/>
  </w:num>
  <w:num w:numId="4">
    <w:abstractNumId w:val="8"/>
  </w:num>
  <w:num w:numId="5">
    <w:abstractNumId w:val="3"/>
  </w:num>
  <w:num w:numId="6">
    <w:abstractNumId w:val="6"/>
  </w:num>
  <w:num w:numId="7">
    <w:abstractNumId w:val="2"/>
  </w:num>
  <w:num w:numId="8">
    <w:abstractNumId w:val="11"/>
  </w:num>
  <w:num w:numId="9">
    <w:abstractNumId w:val="1"/>
  </w:num>
  <w:num w:numId="10">
    <w:abstractNumId w:val="17"/>
  </w:num>
  <w:num w:numId="11">
    <w:abstractNumId w:val="25"/>
  </w:num>
  <w:num w:numId="12">
    <w:abstractNumId w:val="16"/>
  </w:num>
  <w:num w:numId="13">
    <w:abstractNumId w:val="7"/>
  </w:num>
  <w:num w:numId="14">
    <w:abstractNumId w:val="23"/>
  </w:num>
  <w:num w:numId="15">
    <w:abstractNumId w:val="4"/>
  </w:num>
  <w:num w:numId="16">
    <w:abstractNumId w:val="15"/>
  </w:num>
  <w:num w:numId="17">
    <w:abstractNumId w:val="18"/>
  </w:num>
  <w:num w:numId="18">
    <w:abstractNumId w:val="19"/>
  </w:num>
  <w:num w:numId="19">
    <w:abstractNumId w:val="5"/>
  </w:num>
  <w:num w:numId="20">
    <w:abstractNumId w:val="14"/>
  </w:num>
  <w:num w:numId="21">
    <w:abstractNumId w:val="21"/>
  </w:num>
  <w:num w:numId="22">
    <w:abstractNumId w:val="9"/>
  </w:num>
  <w:num w:numId="23">
    <w:abstractNumId w:val="0"/>
  </w:num>
  <w:num w:numId="24">
    <w:abstractNumId w:val="27"/>
  </w:num>
  <w:num w:numId="25">
    <w:abstractNumId w:val="24"/>
  </w:num>
  <w:num w:numId="26">
    <w:abstractNumId w:val="28"/>
  </w:num>
  <w:num w:numId="27">
    <w:abstractNumId w:val="20"/>
  </w:num>
  <w:num w:numId="28">
    <w:abstractNumId w:val="13"/>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AF"/>
    <w:rsid w:val="000537AF"/>
    <w:rsid w:val="000734F2"/>
    <w:rsid w:val="000B1D7F"/>
    <w:rsid w:val="000E4C70"/>
    <w:rsid w:val="00130DF4"/>
    <w:rsid w:val="001A4D65"/>
    <w:rsid w:val="001C3DA4"/>
    <w:rsid w:val="001F35A1"/>
    <w:rsid w:val="002C4589"/>
    <w:rsid w:val="002D5136"/>
    <w:rsid w:val="002E064D"/>
    <w:rsid w:val="002E4FEA"/>
    <w:rsid w:val="003372C1"/>
    <w:rsid w:val="003731DC"/>
    <w:rsid w:val="00373E5F"/>
    <w:rsid w:val="003919D7"/>
    <w:rsid w:val="00446D3C"/>
    <w:rsid w:val="00474B78"/>
    <w:rsid w:val="00482464"/>
    <w:rsid w:val="00485EB9"/>
    <w:rsid w:val="004E1B11"/>
    <w:rsid w:val="00532D1D"/>
    <w:rsid w:val="00553A1C"/>
    <w:rsid w:val="005C2064"/>
    <w:rsid w:val="005E215D"/>
    <w:rsid w:val="005E2E58"/>
    <w:rsid w:val="005F4EB1"/>
    <w:rsid w:val="00600EBC"/>
    <w:rsid w:val="00655ED2"/>
    <w:rsid w:val="006613A1"/>
    <w:rsid w:val="0067249C"/>
    <w:rsid w:val="006C4485"/>
    <w:rsid w:val="006E3CE2"/>
    <w:rsid w:val="006E7489"/>
    <w:rsid w:val="00704B30"/>
    <w:rsid w:val="00763198"/>
    <w:rsid w:val="00783B7D"/>
    <w:rsid w:val="0081772C"/>
    <w:rsid w:val="008C388A"/>
    <w:rsid w:val="008E6479"/>
    <w:rsid w:val="008F1F33"/>
    <w:rsid w:val="008F3A80"/>
    <w:rsid w:val="00937E0D"/>
    <w:rsid w:val="00941A8D"/>
    <w:rsid w:val="009527F0"/>
    <w:rsid w:val="00A61716"/>
    <w:rsid w:val="00AC5EBB"/>
    <w:rsid w:val="00AC6165"/>
    <w:rsid w:val="00B4314A"/>
    <w:rsid w:val="00B6659C"/>
    <w:rsid w:val="00B720C0"/>
    <w:rsid w:val="00B75B12"/>
    <w:rsid w:val="00B7727F"/>
    <w:rsid w:val="00C03395"/>
    <w:rsid w:val="00CB0060"/>
    <w:rsid w:val="00CE0716"/>
    <w:rsid w:val="00D253E9"/>
    <w:rsid w:val="00D41FB3"/>
    <w:rsid w:val="00D46C48"/>
    <w:rsid w:val="00D507F6"/>
    <w:rsid w:val="00DB089A"/>
    <w:rsid w:val="00DF249A"/>
    <w:rsid w:val="00DF34D5"/>
    <w:rsid w:val="00E01721"/>
    <w:rsid w:val="00E56B5C"/>
    <w:rsid w:val="00F704D3"/>
    <w:rsid w:val="00F8405A"/>
    <w:rsid w:val="00F8548C"/>
    <w:rsid w:val="00FC7359"/>
    <w:rsid w:val="00FE7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82E7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1B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1B11"/>
    <w:rPr>
      <w:rFonts w:ascii="Lucida Grande" w:eastAsiaTheme="minorHAnsi" w:hAnsi="Lucida Grande" w:cs="Lucida Grande"/>
      <w:sz w:val="18"/>
      <w:szCs w:val="18"/>
    </w:rPr>
  </w:style>
  <w:style w:type="table" w:customStyle="1" w:styleId="TableGrid1">
    <w:name w:val="Table Grid1"/>
    <w:basedOn w:val="TableNormal"/>
    <w:next w:val="TableGrid"/>
    <w:uiPriority w:val="39"/>
    <w:rsid w:val="008F3A8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D507F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1B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1B11"/>
    <w:rPr>
      <w:rFonts w:ascii="Lucida Grande" w:eastAsiaTheme="minorHAnsi" w:hAnsi="Lucida Grande" w:cs="Lucida Grande"/>
      <w:sz w:val="18"/>
      <w:szCs w:val="18"/>
    </w:rPr>
  </w:style>
  <w:style w:type="table" w:customStyle="1" w:styleId="TableGrid1">
    <w:name w:val="Table Grid1"/>
    <w:basedOn w:val="TableNormal"/>
    <w:next w:val="TableGrid"/>
    <w:uiPriority w:val="39"/>
    <w:rsid w:val="008F3A8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D50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taff:Library:Application%20Support:Microsoft:Office:User%20Templates:My%20Templates:choosing%20and%20using%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choosing and using word template.dotx</Template>
  <TotalTime>2</TotalTime>
  <Pages>3</Pages>
  <Words>788</Words>
  <Characters>4493</Characters>
  <Application>Microsoft Macintosh Word</Application>
  <DocSecurity>0</DocSecurity>
  <Lines>37</Lines>
  <Paragraphs>10</Paragraphs>
  <ScaleCrop>false</ScaleCrop>
  <Company>OSUL</Company>
  <LinksUpToDate>false</LinksUpToDate>
  <CharactersWithSpaces>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OSU</cp:lastModifiedBy>
  <cp:revision>4</cp:revision>
  <dcterms:created xsi:type="dcterms:W3CDTF">2017-08-10T19:58:00Z</dcterms:created>
  <dcterms:modified xsi:type="dcterms:W3CDTF">2017-08-22T03:51:00Z</dcterms:modified>
</cp:coreProperties>
</file>