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1E8A3" w14:textId="77777777" w:rsidR="00DF1BD8" w:rsidRDefault="00DF1BD8" w:rsidP="00DF1BD8">
      <w:pPr>
        <w:jc w:val="center"/>
        <w:rPr>
          <w:b/>
          <w:sz w:val="28"/>
          <w:szCs w:val="28"/>
        </w:rPr>
      </w:pPr>
      <w:r>
        <w:rPr>
          <w:b/>
          <w:sz w:val="28"/>
          <w:szCs w:val="28"/>
        </w:rPr>
        <w:t>IDENTIFYING INTEGRATION METHODS</w:t>
      </w:r>
    </w:p>
    <w:p w14:paraId="168699B2" w14:textId="77777777" w:rsidR="00DF1BD8" w:rsidRDefault="00DF1BD8" w:rsidP="00DF1BD8">
      <w:pPr>
        <w:spacing w:line="276" w:lineRule="auto"/>
        <w:rPr>
          <w:rFonts w:cstheme="minorHAnsi"/>
          <w:sz w:val="24"/>
          <w:szCs w:val="24"/>
        </w:rPr>
      </w:pPr>
      <w:r>
        <w:rPr>
          <w:rFonts w:cstheme="minorHAnsi"/>
          <w:sz w:val="24"/>
          <w:szCs w:val="24"/>
        </w:rPr>
        <w:t xml:space="preserve">Authors use direct quotes, paraphrasing, and summaries to incorporate others’ work into their own writing.  These methods allow authors to build on the efforts of others who wrote before them.  These definitions from </w:t>
      </w:r>
      <w:r w:rsidRPr="007B1EFE">
        <w:rPr>
          <w:rFonts w:cstheme="minorHAnsi"/>
          <w:i/>
          <w:sz w:val="24"/>
          <w:szCs w:val="24"/>
        </w:rPr>
        <w:t>Choosing &amp; Using Sources</w:t>
      </w:r>
      <w:r>
        <w:rPr>
          <w:rFonts w:cstheme="minorHAnsi"/>
          <w:i/>
          <w:sz w:val="24"/>
          <w:szCs w:val="24"/>
        </w:rPr>
        <w:t>, Chapter 10, Writing Tips</w:t>
      </w:r>
      <w:r>
        <w:rPr>
          <w:rFonts w:cstheme="minorHAnsi"/>
          <w:sz w:val="24"/>
          <w:szCs w:val="24"/>
        </w:rPr>
        <w:t xml:space="preserve"> explain further:</w:t>
      </w:r>
    </w:p>
    <w:p w14:paraId="44C30B65" w14:textId="77777777" w:rsidR="00DF1BD8" w:rsidRDefault="00DF1BD8" w:rsidP="00DF1BD8">
      <w:pPr>
        <w:spacing w:line="276" w:lineRule="auto"/>
        <w:rPr>
          <w:rFonts w:cstheme="minorHAnsi"/>
          <w:sz w:val="24"/>
          <w:szCs w:val="24"/>
        </w:rPr>
      </w:pPr>
      <w:r w:rsidRPr="00D321D9">
        <w:rPr>
          <w:rFonts w:cstheme="minorHAnsi"/>
          <w:b/>
          <w:sz w:val="24"/>
          <w:szCs w:val="24"/>
        </w:rPr>
        <w:t>Direct Quote</w:t>
      </w:r>
      <w:r>
        <w:rPr>
          <w:rFonts w:cstheme="minorHAnsi"/>
          <w:sz w:val="24"/>
          <w:szCs w:val="24"/>
        </w:rPr>
        <w:t>—The exact language of the source, always in quotation marks.  Directly quoting a source is a good choice when you need to be especially accurate; when what you are quoting is the text you are analyzing; when the direct quote is most concise; when the author is very authoritative; and when the source’s exact language is particularly effective. You need to cite the source for your direct quote.</w:t>
      </w:r>
    </w:p>
    <w:p w14:paraId="0998F158" w14:textId="77777777" w:rsidR="00DF1BD8" w:rsidRDefault="00DF1BD8" w:rsidP="00DF1BD8">
      <w:pPr>
        <w:spacing w:line="276" w:lineRule="auto"/>
        <w:rPr>
          <w:rFonts w:cstheme="minorHAnsi"/>
          <w:sz w:val="24"/>
          <w:szCs w:val="24"/>
        </w:rPr>
      </w:pPr>
      <w:proofErr w:type="gramStart"/>
      <w:r w:rsidRPr="007B1EFE">
        <w:rPr>
          <w:rFonts w:cstheme="minorHAnsi"/>
          <w:b/>
          <w:sz w:val="24"/>
          <w:szCs w:val="24"/>
        </w:rPr>
        <w:t>Paraphrasing</w:t>
      </w:r>
      <w:r>
        <w:rPr>
          <w:rFonts w:cstheme="minorHAnsi"/>
          <w:sz w:val="24"/>
          <w:szCs w:val="24"/>
        </w:rPr>
        <w:t>—Rephrasing in your own words of what the source said.</w:t>
      </w:r>
      <w:proofErr w:type="gramEnd"/>
      <w:r>
        <w:rPr>
          <w:rFonts w:cstheme="minorHAnsi"/>
          <w:sz w:val="24"/>
          <w:szCs w:val="24"/>
        </w:rPr>
        <w:t xml:space="preserve"> </w:t>
      </w:r>
      <w:proofErr w:type="gramStart"/>
      <w:r>
        <w:rPr>
          <w:rFonts w:cstheme="minorHAnsi"/>
          <w:sz w:val="24"/>
          <w:szCs w:val="24"/>
        </w:rPr>
        <w:t>A good choice over quoting when the meaning is more important than the language.</w:t>
      </w:r>
      <w:proofErr w:type="gramEnd"/>
      <w:r>
        <w:rPr>
          <w:rFonts w:cstheme="minorHAnsi"/>
          <w:sz w:val="24"/>
          <w:szCs w:val="24"/>
        </w:rPr>
        <w:t xml:space="preserve"> </w:t>
      </w:r>
      <w:proofErr w:type="gramStart"/>
      <w:r>
        <w:rPr>
          <w:rFonts w:cstheme="minorHAnsi"/>
          <w:sz w:val="24"/>
          <w:szCs w:val="24"/>
        </w:rPr>
        <w:t>A good choice over summarizing when you need details and specificity.</w:t>
      </w:r>
      <w:proofErr w:type="gramEnd"/>
      <w:r>
        <w:rPr>
          <w:rFonts w:cstheme="minorHAnsi"/>
          <w:sz w:val="24"/>
          <w:szCs w:val="24"/>
        </w:rPr>
        <w:t xml:space="preserve"> You need to cite the source your paraphrase.</w:t>
      </w:r>
    </w:p>
    <w:p w14:paraId="0DB53187" w14:textId="76DAF202" w:rsidR="00DF1BD8" w:rsidRDefault="00DF1BD8" w:rsidP="00DF1BD8">
      <w:pPr>
        <w:spacing w:line="276" w:lineRule="auto"/>
        <w:rPr>
          <w:rFonts w:cstheme="minorHAnsi"/>
          <w:sz w:val="24"/>
          <w:szCs w:val="24"/>
        </w:rPr>
      </w:pPr>
      <w:r w:rsidRPr="007B1EFE">
        <w:rPr>
          <w:rFonts w:cstheme="minorHAnsi"/>
          <w:b/>
          <w:sz w:val="24"/>
          <w:szCs w:val="24"/>
        </w:rPr>
        <w:t>Summaries</w:t>
      </w:r>
      <w:r>
        <w:rPr>
          <w:rFonts w:cstheme="minorHAnsi"/>
          <w:sz w:val="24"/>
          <w:szCs w:val="24"/>
        </w:rPr>
        <w:t>—Giving a shorter, less detailed version of what the source said. A good choice when the idea is important but not the details or the exact language are not. You need to cite the source you are summarizing.</w:t>
      </w:r>
    </w:p>
    <w:p w14:paraId="7B39C9AD" w14:textId="77777777" w:rsidR="00DF1BD8" w:rsidRDefault="00DF1BD8" w:rsidP="00DF1BD8">
      <w:pPr>
        <w:spacing w:line="276" w:lineRule="auto"/>
        <w:ind w:left="720" w:hanging="720"/>
        <w:rPr>
          <w:rFonts w:cstheme="minorHAnsi"/>
          <w:b/>
          <w:i/>
          <w:sz w:val="24"/>
          <w:szCs w:val="24"/>
        </w:rPr>
      </w:pPr>
      <w:r>
        <w:rPr>
          <w:rFonts w:cstheme="minorHAnsi"/>
          <w:b/>
          <w:i/>
          <w:sz w:val="24"/>
          <w:szCs w:val="24"/>
        </w:rPr>
        <w:t xml:space="preserve">Directions: </w:t>
      </w:r>
    </w:p>
    <w:p w14:paraId="72FAF68B" w14:textId="77777777" w:rsidR="00DF1BD8" w:rsidRPr="00C035DD" w:rsidRDefault="00DF1BD8" w:rsidP="00DF1BD8">
      <w:pPr>
        <w:pStyle w:val="ListParagraph"/>
        <w:numPr>
          <w:ilvl w:val="0"/>
          <w:numId w:val="36"/>
        </w:numPr>
        <w:spacing w:after="0" w:line="276" w:lineRule="auto"/>
        <w:rPr>
          <w:rFonts w:cstheme="minorHAnsi"/>
          <w:i/>
          <w:sz w:val="24"/>
          <w:szCs w:val="24"/>
        </w:rPr>
      </w:pPr>
      <w:r w:rsidRPr="00C035DD">
        <w:rPr>
          <w:rFonts w:cstheme="minorHAnsi"/>
          <w:i/>
          <w:sz w:val="24"/>
          <w:szCs w:val="24"/>
        </w:rPr>
        <w:t xml:space="preserve">Read each excerpt.  </w:t>
      </w:r>
    </w:p>
    <w:p w14:paraId="20D126B6" w14:textId="77777777" w:rsidR="00DF1BD8" w:rsidRDefault="00DF1BD8" w:rsidP="00DF1BD8">
      <w:pPr>
        <w:pStyle w:val="ListParagraph"/>
        <w:numPr>
          <w:ilvl w:val="0"/>
          <w:numId w:val="36"/>
        </w:numPr>
        <w:spacing w:after="0" w:line="276" w:lineRule="auto"/>
        <w:rPr>
          <w:i/>
          <w:sz w:val="24"/>
          <w:szCs w:val="24"/>
        </w:rPr>
      </w:pPr>
      <w:r w:rsidRPr="00C035DD">
        <w:rPr>
          <w:i/>
          <w:sz w:val="24"/>
          <w:szCs w:val="24"/>
        </w:rPr>
        <w:t>Underneath each excerpt</w:t>
      </w:r>
      <w:r w:rsidRPr="00C035DD">
        <w:rPr>
          <w:b/>
          <w:i/>
          <w:sz w:val="24"/>
          <w:szCs w:val="24"/>
        </w:rPr>
        <w:t>,</w:t>
      </w:r>
      <w:r w:rsidRPr="00C035DD">
        <w:rPr>
          <w:i/>
          <w:sz w:val="24"/>
          <w:szCs w:val="24"/>
        </w:rPr>
        <w:t xml:space="preserve"> mark what method the author used to incorporated </w:t>
      </w:r>
      <w:r w:rsidRPr="00C035DD">
        <w:rPr>
          <w:b/>
          <w:i/>
          <w:sz w:val="24"/>
          <w:szCs w:val="24"/>
        </w:rPr>
        <w:t xml:space="preserve">source </w:t>
      </w:r>
      <w:r w:rsidRPr="00C035DD">
        <w:rPr>
          <w:i/>
          <w:sz w:val="24"/>
          <w:szCs w:val="24"/>
        </w:rPr>
        <w:t>material into his or her writing (e.g., direct quote, summary, or paraphrase)</w:t>
      </w:r>
      <w:r w:rsidRPr="00C035DD">
        <w:rPr>
          <w:b/>
          <w:i/>
          <w:sz w:val="24"/>
          <w:szCs w:val="24"/>
        </w:rPr>
        <w:t>.</w:t>
      </w:r>
      <w:r w:rsidRPr="00C035DD">
        <w:rPr>
          <w:i/>
          <w:sz w:val="24"/>
          <w:szCs w:val="24"/>
        </w:rPr>
        <w:t xml:space="preserve"> </w:t>
      </w:r>
    </w:p>
    <w:p w14:paraId="731133C7" w14:textId="48832C10" w:rsidR="00DF1BD8" w:rsidRDefault="00DF1BD8" w:rsidP="00DF1BD8">
      <w:pPr>
        <w:spacing w:line="276" w:lineRule="auto"/>
        <w:rPr>
          <w:rFonts w:cstheme="minorHAnsi"/>
          <w:sz w:val="24"/>
          <w:szCs w:val="24"/>
        </w:rPr>
      </w:pPr>
      <w:r>
        <w:rPr>
          <w:rFonts w:cstheme="minorHAnsi"/>
          <w:sz w:val="24"/>
          <w:szCs w:val="24"/>
        </w:rPr>
        <w:t>______________________________________________________________________________</w:t>
      </w:r>
    </w:p>
    <w:p w14:paraId="75FC5A8B" w14:textId="77777777" w:rsidR="00DF1BD8" w:rsidRDefault="00DF1BD8" w:rsidP="00DF1BD8">
      <w:pPr>
        <w:spacing w:line="276" w:lineRule="auto"/>
        <w:rPr>
          <w:rFonts w:cstheme="minorHAnsi"/>
          <w:sz w:val="24"/>
          <w:szCs w:val="24"/>
        </w:rPr>
      </w:pPr>
      <w:proofErr w:type="spellStart"/>
      <w:r>
        <w:rPr>
          <w:rFonts w:cstheme="minorHAnsi"/>
          <w:sz w:val="24"/>
          <w:szCs w:val="24"/>
        </w:rPr>
        <w:t>Yalvac</w:t>
      </w:r>
      <w:proofErr w:type="spellEnd"/>
      <w:r>
        <w:rPr>
          <w:rFonts w:cstheme="minorHAnsi"/>
          <w:sz w:val="24"/>
          <w:szCs w:val="24"/>
        </w:rPr>
        <w:t xml:space="preserve"> et al. address this gap in their 2007 study of writing in upper level engineering courses when they note that “faculty must do more than embed writing assignments into their class” and instead must “help [students] imagine themselves in a professional role” to help students develop effective communication skills.” (491).</w:t>
      </w:r>
    </w:p>
    <w:p w14:paraId="6D2A6D12" w14:textId="77777777" w:rsidR="00DF1BD8" w:rsidRDefault="00DF1BD8" w:rsidP="00DF1BD8">
      <w:pPr>
        <w:spacing w:line="276" w:lineRule="auto"/>
        <w:ind w:left="720" w:hanging="720"/>
        <w:rPr>
          <w:rFonts w:cstheme="minorHAnsi"/>
          <w:sz w:val="20"/>
          <w:szCs w:val="20"/>
        </w:rPr>
      </w:pPr>
      <w:proofErr w:type="spellStart"/>
      <w:r>
        <w:rPr>
          <w:rFonts w:cstheme="minorHAnsi"/>
          <w:sz w:val="20"/>
          <w:szCs w:val="20"/>
        </w:rPr>
        <w:t>Paretti</w:t>
      </w:r>
      <w:proofErr w:type="spellEnd"/>
      <w:r>
        <w:rPr>
          <w:rFonts w:cstheme="minorHAnsi"/>
          <w:sz w:val="20"/>
          <w:szCs w:val="20"/>
        </w:rPr>
        <w:t xml:space="preserve">, Marie C., “Teaching Communication in Capstone Design: The Role of the Instructor in Situated Learning.” </w:t>
      </w:r>
      <w:r>
        <w:rPr>
          <w:rFonts w:cstheme="minorHAnsi"/>
          <w:i/>
          <w:sz w:val="20"/>
          <w:szCs w:val="20"/>
        </w:rPr>
        <w:t>Journal of Engineering Education</w:t>
      </w:r>
      <w:r>
        <w:rPr>
          <w:rFonts w:cstheme="minorHAnsi"/>
          <w:sz w:val="20"/>
          <w:szCs w:val="20"/>
        </w:rPr>
        <w:t xml:space="preserve">, vol. 97 no. 4, YEAR, pp. 491-503. </w:t>
      </w:r>
      <w:proofErr w:type="spellStart"/>
      <w:r>
        <w:rPr>
          <w:rFonts w:cstheme="minorHAnsi"/>
          <w:i/>
          <w:sz w:val="20"/>
          <w:szCs w:val="20"/>
        </w:rPr>
        <w:t>ProQuest</w:t>
      </w:r>
      <w:proofErr w:type="spellEnd"/>
      <w:r>
        <w:rPr>
          <w:rFonts w:cstheme="minorHAnsi"/>
          <w:sz w:val="20"/>
          <w:szCs w:val="20"/>
        </w:rPr>
        <w:t>,</w:t>
      </w:r>
      <w:r>
        <w:rPr>
          <w:sz w:val="20"/>
          <w:szCs w:val="20"/>
        </w:rPr>
        <w:t xml:space="preserve"> </w:t>
      </w:r>
      <w:r>
        <w:rPr>
          <w:rFonts w:cstheme="minorHAnsi"/>
          <w:sz w:val="20"/>
          <w:szCs w:val="20"/>
        </w:rPr>
        <w:t>proxy.lib.ohio-state.edu/login</w:t>
      </w:r>
      <w:proofErr w:type="gramStart"/>
      <w:r>
        <w:rPr>
          <w:rFonts w:cstheme="minorHAnsi"/>
          <w:sz w:val="20"/>
          <w:szCs w:val="20"/>
        </w:rPr>
        <w:t>?url</w:t>
      </w:r>
      <w:proofErr w:type="gramEnd"/>
      <w:r>
        <w:rPr>
          <w:rFonts w:cstheme="minorHAnsi"/>
          <w:sz w:val="20"/>
          <w:szCs w:val="20"/>
        </w:rPr>
        <w:t xml:space="preserve">=http://search.proquest.com/docview/217948205?account id=9783. </w:t>
      </w:r>
    </w:p>
    <w:p w14:paraId="0FA73F02" w14:textId="543FCF18" w:rsidR="00DF1BD8" w:rsidRDefault="00DF1BD8" w:rsidP="006375A8">
      <w:pPr>
        <w:spacing w:line="276" w:lineRule="auto"/>
        <w:jc w:val="center"/>
        <w:rPr>
          <w:rFonts w:cstheme="minorHAnsi"/>
          <w:sz w:val="24"/>
          <w:szCs w:val="24"/>
        </w:rPr>
      </w:pPr>
    </w:p>
    <w:p w14:paraId="1E28DFC2" w14:textId="77777777" w:rsidR="00DF1BD8" w:rsidRDefault="00DF1BD8" w:rsidP="006375A8">
      <w:pPr>
        <w:spacing w:line="276" w:lineRule="auto"/>
        <w:jc w:val="center"/>
        <w:rPr>
          <w:rFonts w:cstheme="minorHAnsi"/>
          <w:sz w:val="24"/>
          <w:szCs w:val="24"/>
        </w:rPr>
      </w:pPr>
      <w:r w:rsidRPr="006375A8">
        <w:rPr>
          <w:rFonts w:cstheme="minorHAnsi"/>
          <w:sz w:val="24"/>
          <w:szCs w:val="24"/>
        </w:rPr>
        <w:t>Direct Quote</w:t>
      </w:r>
      <w:r w:rsidRPr="006375A8">
        <w:rPr>
          <w:rFonts w:cstheme="minorHAnsi"/>
          <w:sz w:val="24"/>
          <w:szCs w:val="24"/>
        </w:rPr>
        <w:tab/>
      </w:r>
      <w:r>
        <w:rPr>
          <w:rFonts w:cstheme="minorHAnsi"/>
          <w:sz w:val="24"/>
          <w:szCs w:val="24"/>
        </w:rPr>
        <w:tab/>
      </w:r>
      <w:r>
        <w:rPr>
          <w:rFonts w:cstheme="minorHAnsi"/>
          <w:sz w:val="24"/>
          <w:szCs w:val="24"/>
        </w:rPr>
        <w:tab/>
        <w:t>Paraphrase</w:t>
      </w:r>
      <w:r>
        <w:rPr>
          <w:rFonts w:cstheme="minorHAnsi"/>
          <w:sz w:val="24"/>
          <w:szCs w:val="24"/>
        </w:rPr>
        <w:tab/>
      </w:r>
      <w:r>
        <w:rPr>
          <w:rFonts w:cstheme="minorHAnsi"/>
          <w:sz w:val="24"/>
          <w:szCs w:val="24"/>
        </w:rPr>
        <w:tab/>
      </w:r>
      <w:r>
        <w:rPr>
          <w:rFonts w:cstheme="minorHAnsi"/>
          <w:sz w:val="24"/>
          <w:szCs w:val="24"/>
        </w:rPr>
        <w:tab/>
        <w:t>Summary</w:t>
      </w:r>
    </w:p>
    <w:p w14:paraId="211CD983" w14:textId="77777777" w:rsidR="00DF1BD8" w:rsidRDefault="00DF1BD8" w:rsidP="00DF1BD8">
      <w:pPr>
        <w:spacing w:line="276" w:lineRule="auto"/>
        <w:rPr>
          <w:rFonts w:cstheme="minorHAnsi"/>
          <w:sz w:val="24"/>
          <w:szCs w:val="24"/>
        </w:rPr>
      </w:pPr>
      <w:r>
        <w:rPr>
          <w:rFonts w:cstheme="minorHAnsi"/>
          <w:sz w:val="24"/>
          <w:szCs w:val="24"/>
        </w:rPr>
        <w:lastRenderedPageBreak/>
        <w:t>______________________________________________________________________________</w:t>
      </w:r>
    </w:p>
    <w:p w14:paraId="6AD14DBB" w14:textId="77777777" w:rsidR="00DF1BD8" w:rsidRDefault="00DF1BD8" w:rsidP="00DF1BD8">
      <w:pPr>
        <w:spacing w:line="276" w:lineRule="auto"/>
        <w:rPr>
          <w:rFonts w:cstheme="minorHAnsi"/>
          <w:sz w:val="24"/>
          <w:szCs w:val="24"/>
        </w:rPr>
      </w:pPr>
      <w:r>
        <w:rPr>
          <w:rFonts w:cstheme="minorHAnsi"/>
          <w:sz w:val="24"/>
          <w:szCs w:val="24"/>
        </w:rPr>
        <w:t>As I first read the far-reaching, politically sensitive articles, I found that I agreed with much that Gee wrote, as I have with much of his previous work. He argues that literacy is much more than reading and writing, but rather, that it is part of a larger political entity…He adds that one never learns simply to read or write, but to read and write within some larger Discourse, and therefore within some larger set of values and beliefs. (285-6)</w:t>
      </w:r>
    </w:p>
    <w:p w14:paraId="7A9FE249" w14:textId="77777777" w:rsidR="00DF1BD8" w:rsidRDefault="00DF1BD8" w:rsidP="00DF1BD8">
      <w:pPr>
        <w:spacing w:line="276" w:lineRule="auto"/>
        <w:ind w:left="720" w:hanging="720"/>
        <w:rPr>
          <w:rFonts w:cstheme="minorHAnsi"/>
          <w:sz w:val="20"/>
          <w:szCs w:val="20"/>
        </w:rPr>
      </w:pPr>
      <w:proofErr w:type="spellStart"/>
      <w:r>
        <w:rPr>
          <w:rFonts w:cstheme="minorHAnsi"/>
          <w:sz w:val="20"/>
          <w:szCs w:val="20"/>
        </w:rPr>
        <w:t>Delpit</w:t>
      </w:r>
      <w:proofErr w:type="spellEnd"/>
      <w:r>
        <w:rPr>
          <w:rFonts w:cstheme="minorHAnsi"/>
          <w:sz w:val="20"/>
          <w:szCs w:val="20"/>
        </w:rPr>
        <w:t xml:space="preserve">, Lisa D. “The Politics of Teaching Literature Discourse.” </w:t>
      </w:r>
      <w:r>
        <w:rPr>
          <w:rFonts w:cstheme="minorHAnsi"/>
          <w:i/>
          <w:iCs/>
          <w:sz w:val="20"/>
          <w:szCs w:val="20"/>
        </w:rPr>
        <w:t>Freedom’s Plow: Teaching in the Multicultural Classroom</w:t>
      </w:r>
      <w:r>
        <w:rPr>
          <w:rFonts w:cstheme="minorHAnsi"/>
          <w:iCs/>
          <w:sz w:val="20"/>
          <w:szCs w:val="20"/>
        </w:rPr>
        <w:t xml:space="preserve">, edited by Theresa Perry and James W. Fraser, </w:t>
      </w:r>
      <w:r>
        <w:rPr>
          <w:rFonts w:cstheme="minorHAnsi"/>
          <w:sz w:val="20"/>
          <w:szCs w:val="20"/>
        </w:rPr>
        <w:t xml:space="preserve">New </w:t>
      </w:r>
      <w:proofErr w:type="spellStart"/>
      <w:r>
        <w:rPr>
          <w:rFonts w:cstheme="minorHAnsi"/>
          <w:sz w:val="20"/>
          <w:szCs w:val="20"/>
        </w:rPr>
        <w:t>Routledge</w:t>
      </w:r>
      <w:proofErr w:type="spellEnd"/>
      <w:r>
        <w:rPr>
          <w:rFonts w:cstheme="minorHAnsi"/>
          <w:sz w:val="20"/>
          <w:szCs w:val="20"/>
        </w:rPr>
        <w:t>, pp. 285-95.</w:t>
      </w:r>
    </w:p>
    <w:p w14:paraId="62B90553" w14:textId="77777777" w:rsidR="00DF1BD8" w:rsidRDefault="00DF1BD8" w:rsidP="006375A8">
      <w:pPr>
        <w:spacing w:line="276" w:lineRule="auto"/>
        <w:jc w:val="center"/>
        <w:rPr>
          <w:rFonts w:cstheme="minorHAnsi"/>
          <w:sz w:val="24"/>
          <w:szCs w:val="24"/>
        </w:rPr>
      </w:pPr>
    </w:p>
    <w:p w14:paraId="6F0E3643" w14:textId="77777777" w:rsidR="00DF1BD8" w:rsidRDefault="00DF1BD8" w:rsidP="006375A8">
      <w:pPr>
        <w:spacing w:line="276" w:lineRule="auto"/>
        <w:jc w:val="center"/>
        <w:rPr>
          <w:rFonts w:cstheme="minorHAnsi"/>
          <w:sz w:val="24"/>
          <w:szCs w:val="24"/>
        </w:rPr>
      </w:pPr>
      <w:r>
        <w:rPr>
          <w:rFonts w:cstheme="minorHAnsi"/>
          <w:sz w:val="24"/>
          <w:szCs w:val="24"/>
        </w:rPr>
        <w:t>Direct Quote</w:t>
      </w:r>
      <w:r>
        <w:rPr>
          <w:rFonts w:cstheme="minorHAnsi"/>
          <w:sz w:val="24"/>
          <w:szCs w:val="24"/>
        </w:rPr>
        <w:tab/>
      </w:r>
      <w:r>
        <w:rPr>
          <w:rFonts w:cstheme="minorHAnsi"/>
          <w:sz w:val="24"/>
          <w:szCs w:val="24"/>
        </w:rPr>
        <w:tab/>
      </w:r>
      <w:r>
        <w:rPr>
          <w:rFonts w:cstheme="minorHAnsi"/>
          <w:sz w:val="24"/>
          <w:szCs w:val="24"/>
        </w:rPr>
        <w:tab/>
        <w:t>Paraphrase</w:t>
      </w:r>
      <w:r>
        <w:rPr>
          <w:rFonts w:cstheme="minorHAnsi"/>
          <w:sz w:val="24"/>
          <w:szCs w:val="24"/>
        </w:rPr>
        <w:tab/>
      </w:r>
      <w:r>
        <w:rPr>
          <w:rFonts w:cstheme="minorHAnsi"/>
          <w:sz w:val="24"/>
          <w:szCs w:val="24"/>
        </w:rPr>
        <w:tab/>
      </w:r>
      <w:r w:rsidRPr="006375A8">
        <w:rPr>
          <w:rFonts w:cstheme="minorHAnsi"/>
          <w:sz w:val="24"/>
          <w:szCs w:val="24"/>
        </w:rPr>
        <w:tab/>
        <w:t>Summary</w:t>
      </w:r>
    </w:p>
    <w:p w14:paraId="0F44A4E0" w14:textId="77777777" w:rsidR="00DF1BD8" w:rsidRDefault="00DF1BD8" w:rsidP="00DF1BD8">
      <w:pPr>
        <w:spacing w:line="276" w:lineRule="auto"/>
        <w:rPr>
          <w:rFonts w:cstheme="minorHAnsi"/>
          <w:sz w:val="24"/>
          <w:szCs w:val="24"/>
        </w:rPr>
      </w:pPr>
      <w:r>
        <w:rPr>
          <w:rFonts w:cstheme="minorHAnsi"/>
          <w:sz w:val="24"/>
          <w:szCs w:val="24"/>
        </w:rPr>
        <w:t>_____________________________________________________________________________</w:t>
      </w:r>
    </w:p>
    <w:p w14:paraId="5775D4A7" w14:textId="77777777" w:rsidR="00DF1BD8" w:rsidRDefault="00DF1BD8" w:rsidP="00DF1BD8">
      <w:pPr>
        <w:spacing w:line="276" w:lineRule="auto"/>
        <w:rPr>
          <w:rFonts w:cstheme="minorHAnsi"/>
          <w:sz w:val="24"/>
          <w:szCs w:val="24"/>
        </w:rPr>
      </w:pPr>
      <w:proofErr w:type="spellStart"/>
      <w:r>
        <w:rPr>
          <w:rFonts w:cstheme="minorHAnsi"/>
          <w:sz w:val="24"/>
          <w:szCs w:val="24"/>
        </w:rPr>
        <w:t>Bakhtin</w:t>
      </w:r>
      <w:proofErr w:type="spellEnd"/>
      <w:r>
        <w:rPr>
          <w:rFonts w:cstheme="minorHAnsi"/>
          <w:sz w:val="24"/>
          <w:szCs w:val="24"/>
        </w:rPr>
        <w:t xml:space="preserve"> would probably view our gallant efforts to make language social as interesting, but hardly necessary. For it is ludicrous to believe that we make language social only from the outside when we place it in a social context. Instead, language presents itself to us as social phenomenon from the inside, through and through, from its very essence. (158). </w:t>
      </w:r>
    </w:p>
    <w:p w14:paraId="5E6BFC1C" w14:textId="77777777" w:rsidR="00DF1BD8" w:rsidRDefault="00DF1BD8" w:rsidP="00DF1BD8">
      <w:pPr>
        <w:spacing w:line="276" w:lineRule="auto"/>
        <w:ind w:left="720" w:hanging="720"/>
        <w:rPr>
          <w:rFonts w:cstheme="minorHAnsi"/>
          <w:sz w:val="20"/>
          <w:szCs w:val="20"/>
        </w:rPr>
      </w:pPr>
      <w:r>
        <w:rPr>
          <w:rFonts w:cstheme="minorHAnsi"/>
          <w:sz w:val="20"/>
          <w:szCs w:val="20"/>
        </w:rPr>
        <w:t xml:space="preserve">Mack, Nancy. “The Social Nature of Words: Voices, Dialogues, Quarrels.” </w:t>
      </w:r>
      <w:r>
        <w:rPr>
          <w:rFonts w:cstheme="minorHAnsi"/>
          <w:i/>
          <w:sz w:val="20"/>
          <w:szCs w:val="20"/>
        </w:rPr>
        <w:t>The Writing Instructor</w:t>
      </w:r>
      <w:r>
        <w:rPr>
          <w:rFonts w:cstheme="minorHAnsi"/>
          <w:sz w:val="20"/>
          <w:szCs w:val="20"/>
        </w:rPr>
        <w:t xml:space="preserve">, vol. 8, no. 4, pp. 157-65. </w:t>
      </w:r>
      <w:proofErr w:type="gramStart"/>
      <w:r>
        <w:rPr>
          <w:rFonts w:cstheme="minorHAnsi"/>
          <w:i/>
          <w:sz w:val="20"/>
          <w:szCs w:val="20"/>
        </w:rPr>
        <w:t>Wright State University CORE Scholar</w:t>
      </w:r>
      <w:r>
        <w:rPr>
          <w:rFonts w:cstheme="minorHAnsi"/>
          <w:sz w:val="20"/>
          <w:szCs w:val="20"/>
        </w:rPr>
        <w:t>, corescholar.libraries.wright.edu /</w:t>
      </w:r>
      <w:proofErr w:type="spellStart"/>
      <w:r>
        <w:rPr>
          <w:rFonts w:cstheme="minorHAnsi"/>
          <w:sz w:val="20"/>
          <w:szCs w:val="20"/>
        </w:rPr>
        <w:t>english</w:t>
      </w:r>
      <w:proofErr w:type="spellEnd"/>
      <w:r>
        <w:rPr>
          <w:rFonts w:cstheme="minorHAnsi"/>
          <w:sz w:val="20"/>
          <w:szCs w:val="20"/>
        </w:rPr>
        <w:t>/74.</w:t>
      </w:r>
      <w:proofErr w:type="gramEnd"/>
    </w:p>
    <w:p w14:paraId="6FB39828" w14:textId="77777777" w:rsidR="00DF1BD8" w:rsidRDefault="00DF1BD8" w:rsidP="006375A8">
      <w:pPr>
        <w:spacing w:line="276" w:lineRule="auto"/>
        <w:jc w:val="center"/>
        <w:rPr>
          <w:rFonts w:cstheme="minorHAnsi"/>
          <w:sz w:val="24"/>
          <w:szCs w:val="24"/>
        </w:rPr>
      </w:pPr>
      <w:bookmarkStart w:id="0" w:name="_GoBack"/>
    </w:p>
    <w:p w14:paraId="57E13C80" w14:textId="77777777" w:rsidR="00DF1BD8" w:rsidRPr="003121D2" w:rsidRDefault="00DF1BD8" w:rsidP="006375A8">
      <w:pPr>
        <w:spacing w:line="276" w:lineRule="auto"/>
        <w:jc w:val="center"/>
      </w:pPr>
      <w:r>
        <w:rPr>
          <w:rFonts w:cstheme="minorHAnsi"/>
          <w:sz w:val="24"/>
          <w:szCs w:val="24"/>
        </w:rPr>
        <w:t>Direct Quote</w:t>
      </w:r>
      <w:r>
        <w:rPr>
          <w:rFonts w:cstheme="minorHAnsi"/>
          <w:sz w:val="24"/>
          <w:szCs w:val="24"/>
        </w:rPr>
        <w:tab/>
      </w:r>
      <w:r>
        <w:rPr>
          <w:rFonts w:cstheme="minorHAnsi"/>
          <w:sz w:val="24"/>
          <w:szCs w:val="24"/>
        </w:rPr>
        <w:tab/>
      </w:r>
      <w:r>
        <w:rPr>
          <w:rFonts w:cstheme="minorHAnsi"/>
          <w:sz w:val="24"/>
          <w:szCs w:val="24"/>
        </w:rPr>
        <w:tab/>
      </w:r>
      <w:r w:rsidRPr="006375A8">
        <w:rPr>
          <w:rFonts w:cstheme="minorHAnsi"/>
          <w:sz w:val="24"/>
          <w:szCs w:val="24"/>
        </w:rPr>
        <w:t>Paraphrase</w:t>
      </w:r>
      <w:r w:rsidRPr="006375A8">
        <w:rPr>
          <w:rFonts w:cstheme="minorHAnsi"/>
          <w:sz w:val="24"/>
          <w:szCs w:val="24"/>
        </w:rPr>
        <w:tab/>
      </w:r>
      <w:r>
        <w:rPr>
          <w:rFonts w:cstheme="minorHAnsi"/>
          <w:sz w:val="24"/>
          <w:szCs w:val="24"/>
        </w:rPr>
        <w:tab/>
      </w:r>
      <w:r>
        <w:rPr>
          <w:rFonts w:cstheme="minorHAnsi"/>
          <w:sz w:val="24"/>
          <w:szCs w:val="24"/>
        </w:rPr>
        <w:tab/>
        <w:t>Summary</w:t>
      </w:r>
    </w:p>
    <w:bookmarkEnd w:id="0"/>
    <w:p w14:paraId="59CE4F74" w14:textId="229A72B6" w:rsidR="00941A8D" w:rsidRPr="00DF1BD8" w:rsidRDefault="00941A8D" w:rsidP="00DF1BD8"/>
    <w:sectPr w:rsidR="00941A8D" w:rsidRPr="00DF1BD8" w:rsidSect="00C53FC3">
      <w:headerReference w:type="default" r:id="rId8"/>
      <w:footerReference w:type="default" r:id="rId9"/>
      <w:pgSz w:w="12240" w:h="15840"/>
      <w:pgMar w:top="1440" w:right="1800" w:bottom="1170" w:left="1800" w:header="720" w:footer="12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356E896A"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DF1BD8">
      <w:rPr>
        <w:rFonts w:ascii="Arial" w:hAnsi="Arial"/>
        <w:sz w:val="18"/>
        <w:szCs w:val="18"/>
      </w:rPr>
      <w:t>10B</w:t>
    </w:r>
  </w:p>
  <w:p w14:paraId="05CFB3BE" w14:textId="7465EC52"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6375A8">
      <w:rPr>
        <w:rFonts w:ascii="Arial" w:hAnsi="Arial"/>
        <w:sz w:val="18"/>
        <w:szCs w:val="18"/>
      </w:rPr>
      <w:t>HANDOUT</w:t>
    </w:r>
    <w:r w:rsidR="00DF1BD8">
      <w:rPr>
        <w:rFonts w:ascii="Arial" w:hAnsi="Arial"/>
        <w:sz w:val="18"/>
        <w:szCs w:val="18"/>
      </w:rPr>
      <w:t xml:space="preserve"> 10B</w:t>
    </w:r>
    <w:r w:rsidR="00715499">
      <w:rPr>
        <w:rFonts w:ascii="Arial" w:hAnsi="Arial"/>
        <w:sz w:val="18"/>
        <w:szCs w:val="18"/>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13"/>
  </w:num>
  <w:num w:numId="3">
    <w:abstractNumId w:val="15"/>
  </w:num>
  <w:num w:numId="4">
    <w:abstractNumId w:val="9"/>
  </w:num>
  <w:num w:numId="5">
    <w:abstractNumId w:val="3"/>
  </w:num>
  <w:num w:numId="6">
    <w:abstractNumId w:val="7"/>
  </w:num>
  <w:num w:numId="7">
    <w:abstractNumId w:val="2"/>
  </w:num>
  <w:num w:numId="8">
    <w:abstractNumId w:val="14"/>
  </w:num>
  <w:num w:numId="9">
    <w:abstractNumId w:val="1"/>
  </w:num>
  <w:num w:numId="10">
    <w:abstractNumId w:val="21"/>
  </w:num>
  <w:num w:numId="11">
    <w:abstractNumId w:val="29"/>
  </w:num>
  <w:num w:numId="12">
    <w:abstractNumId w:val="20"/>
  </w:num>
  <w:num w:numId="13">
    <w:abstractNumId w:val="8"/>
  </w:num>
  <w:num w:numId="14">
    <w:abstractNumId w:val="27"/>
  </w:num>
  <w:num w:numId="15">
    <w:abstractNumId w:val="4"/>
  </w:num>
  <w:num w:numId="16">
    <w:abstractNumId w:val="19"/>
  </w:num>
  <w:num w:numId="17">
    <w:abstractNumId w:val="22"/>
  </w:num>
  <w:num w:numId="18">
    <w:abstractNumId w:val="23"/>
  </w:num>
  <w:num w:numId="19">
    <w:abstractNumId w:val="6"/>
  </w:num>
  <w:num w:numId="20">
    <w:abstractNumId w:val="17"/>
  </w:num>
  <w:num w:numId="21">
    <w:abstractNumId w:val="25"/>
  </w:num>
  <w:num w:numId="22">
    <w:abstractNumId w:val="11"/>
  </w:num>
  <w:num w:numId="23">
    <w:abstractNumId w:val="0"/>
  </w:num>
  <w:num w:numId="24">
    <w:abstractNumId w:val="34"/>
  </w:num>
  <w:num w:numId="25">
    <w:abstractNumId w:val="28"/>
  </w:num>
  <w:num w:numId="26">
    <w:abstractNumId w:val="35"/>
  </w:num>
  <w:num w:numId="27">
    <w:abstractNumId w:val="24"/>
  </w:num>
  <w:num w:numId="28">
    <w:abstractNumId w:val="16"/>
  </w:num>
  <w:num w:numId="29">
    <w:abstractNumId w:val="26"/>
  </w:num>
  <w:num w:numId="30">
    <w:abstractNumId w:val="30"/>
  </w:num>
  <w:num w:numId="31">
    <w:abstractNumId w:val="32"/>
  </w:num>
  <w:num w:numId="32">
    <w:abstractNumId w:val="5"/>
  </w:num>
  <w:num w:numId="33">
    <w:abstractNumId w:val="33"/>
  </w:num>
  <w:num w:numId="34">
    <w:abstractNumId w:val="18"/>
  </w:num>
  <w:num w:numId="35">
    <w:abstractNumId w:val="1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C4589"/>
    <w:rsid w:val="002D5136"/>
    <w:rsid w:val="002E064D"/>
    <w:rsid w:val="002E4FEA"/>
    <w:rsid w:val="003372C1"/>
    <w:rsid w:val="003731DC"/>
    <w:rsid w:val="00373E5F"/>
    <w:rsid w:val="003919D7"/>
    <w:rsid w:val="00446D3C"/>
    <w:rsid w:val="00474B78"/>
    <w:rsid w:val="00482464"/>
    <w:rsid w:val="00484671"/>
    <w:rsid w:val="004850FA"/>
    <w:rsid w:val="00485EB9"/>
    <w:rsid w:val="004E1B11"/>
    <w:rsid w:val="00532D1D"/>
    <w:rsid w:val="005512DB"/>
    <w:rsid w:val="00553A1C"/>
    <w:rsid w:val="005C13E3"/>
    <w:rsid w:val="005C2064"/>
    <w:rsid w:val="005E215D"/>
    <w:rsid w:val="005E2E58"/>
    <w:rsid w:val="005F4EB1"/>
    <w:rsid w:val="00600EBC"/>
    <w:rsid w:val="006375A8"/>
    <w:rsid w:val="00655ED2"/>
    <w:rsid w:val="006613A1"/>
    <w:rsid w:val="0067249C"/>
    <w:rsid w:val="006C4485"/>
    <w:rsid w:val="006E3CE2"/>
    <w:rsid w:val="006E7489"/>
    <w:rsid w:val="00704B30"/>
    <w:rsid w:val="00715499"/>
    <w:rsid w:val="00763198"/>
    <w:rsid w:val="00783B7D"/>
    <w:rsid w:val="0081772C"/>
    <w:rsid w:val="00830F05"/>
    <w:rsid w:val="008C388A"/>
    <w:rsid w:val="008E1D58"/>
    <w:rsid w:val="008E6479"/>
    <w:rsid w:val="008F1F33"/>
    <w:rsid w:val="008F3A80"/>
    <w:rsid w:val="00937E0D"/>
    <w:rsid w:val="00941A8D"/>
    <w:rsid w:val="009527F0"/>
    <w:rsid w:val="00A61716"/>
    <w:rsid w:val="00AC5EBB"/>
    <w:rsid w:val="00AC6165"/>
    <w:rsid w:val="00AD7BF7"/>
    <w:rsid w:val="00B254F0"/>
    <w:rsid w:val="00B4314A"/>
    <w:rsid w:val="00B6659C"/>
    <w:rsid w:val="00B720C0"/>
    <w:rsid w:val="00B75B12"/>
    <w:rsid w:val="00B7727F"/>
    <w:rsid w:val="00BA73FD"/>
    <w:rsid w:val="00C03395"/>
    <w:rsid w:val="00C53FC3"/>
    <w:rsid w:val="00CB0060"/>
    <w:rsid w:val="00CE0716"/>
    <w:rsid w:val="00D41FB3"/>
    <w:rsid w:val="00D46C48"/>
    <w:rsid w:val="00D66783"/>
    <w:rsid w:val="00DB089A"/>
    <w:rsid w:val="00DF1BD8"/>
    <w:rsid w:val="00DF249A"/>
    <w:rsid w:val="00DF34D5"/>
    <w:rsid w:val="00E01721"/>
    <w:rsid w:val="00E56B5C"/>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2</Pages>
  <Words>534</Words>
  <Characters>3045</Characters>
  <Application>Microsoft Macintosh Word</Application>
  <DocSecurity>0</DocSecurity>
  <Lines>25</Lines>
  <Paragraphs>7</Paragraphs>
  <ScaleCrop>false</ScaleCrop>
  <Company>OSUL</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2017-08-10T20:24:00Z</dcterms:created>
  <dcterms:modified xsi:type="dcterms:W3CDTF">2017-08-10T20:24:00Z</dcterms:modified>
</cp:coreProperties>
</file>