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4ECB4" w14:textId="77777777" w:rsidR="00B254F0" w:rsidRPr="00535B50" w:rsidRDefault="00B254F0" w:rsidP="00B254F0">
      <w:pPr>
        <w:pStyle w:val="ListParagraph"/>
        <w:rPr>
          <w:sz w:val="24"/>
          <w:szCs w:val="24"/>
        </w:rPr>
      </w:pPr>
    </w:p>
    <w:p w14:paraId="03895F0F" w14:textId="77777777" w:rsidR="00B254F0" w:rsidRPr="007053F5" w:rsidRDefault="00B254F0" w:rsidP="00B254F0">
      <w:pPr>
        <w:jc w:val="center"/>
        <w:rPr>
          <w:b/>
          <w:sz w:val="26"/>
          <w:szCs w:val="26"/>
        </w:rPr>
      </w:pPr>
      <w:r w:rsidRPr="007053F5">
        <w:rPr>
          <w:b/>
          <w:sz w:val="26"/>
          <w:szCs w:val="26"/>
        </w:rPr>
        <w:t>In-Class Procedure</w:t>
      </w:r>
    </w:p>
    <w:p w14:paraId="48106642" w14:textId="77777777" w:rsidR="00B254F0" w:rsidRDefault="00B254F0" w:rsidP="00B254F0">
      <w:pPr>
        <w:ind w:left="720" w:hanging="720"/>
        <w:rPr>
          <w:sz w:val="24"/>
          <w:szCs w:val="24"/>
        </w:rPr>
      </w:pPr>
      <w:r w:rsidRPr="00535B50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56830">
        <w:rPr>
          <w:b/>
          <w:sz w:val="24"/>
          <w:szCs w:val="24"/>
        </w:rPr>
        <w:t xml:space="preserve">If </w:t>
      </w:r>
      <w:proofErr w:type="gramStart"/>
      <w:r w:rsidRPr="00856830">
        <w:rPr>
          <w:b/>
          <w:sz w:val="24"/>
          <w:szCs w:val="24"/>
        </w:rPr>
        <w:t>you’re</w:t>
      </w:r>
      <w:proofErr w:type="gramEnd"/>
      <w:r w:rsidRPr="00856830">
        <w:rPr>
          <w:b/>
          <w:sz w:val="24"/>
          <w:szCs w:val="24"/>
        </w:rPr>
        <w:t xml:space="preserve"> having</w:t>
      </w:r>
      <w:r w:rsidRPr="00856830">
        <w:rPr>
          <w:sz w:val="24"/>
          <w:szCs w:val="24"/>
        </w:rPr>
        <w:t xml:space="preserve"> students use printed copies of Handout </w:t>
      </w:r>
      <w:r>
        <w:rPr>
          <w:sz w:val="24"/>
          <w:szCs w:val="24"/>
        </w:rPr>
        <w:t>10</w:t>
      </w:r>
      <w:r w:rsidRPr="00856830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856830">
        <w:rPr>
          <w:sz w:val="24"/>
          <w:szCs w:val="24"/>
        </w:rPr>
        <w:t>1, pass them out or set them where students can pick them up as they come in.</w:t>
      </w:r>
    </w:p>
    <w:p w14:paraId="382FD850" w14:textId="77777777" w:rsidR="00B254F0" w:rsidRDefault="00B254F0" w:rsidP="00B254F0">
      <w:pPr>
        <w:ind w:left="720" w:hanging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</w:t>
      </w:r>
      <w:r>
        <w:rPr>
          <w:b/>
          <w:color w:val="000000" w:themeColor="text1"/>
          <w:sz w:val="24"/>
          <w:szCs w:val="24"/>
        </w:rPr>
        <w:tab/>
      </w:r>
      <w:r w:rsidRPr="00856830">
        <w:rPr>
          <w:b/>
          <w:color w:val="000000" w:themeColor="text1"/>
          <w:sz w:val="24"/>
          <w:szCs w:val="24"/>
        </w:rPr>
        <w:t xml:space="preserve">If </w:t>
      </w:r>
      <w:proofErr w:type="gramStart"/>
      <w:r w:rsidRPr="00856830">
        <w:rPr>
          <w:b/>
          <w:color w:val="000000" w:themeColor="text1"/>
          <w:sz w:val="24"/>
          <w:szCs w:val="24"/>
        </w:rPr>
        <w:t>you’re</w:t>
      </w:r>
      <w:proofErr w:type="gramEnd"/>
      <w:r w:rsidRPr="00856830">
        <w:rPr>
          <w:b/>
          <w:color w:val="000000" w:themeColor="text1"/>
          <w:sz w:val="24"/>
          <w:szCs w:val="24"/>
        </w:rPr>
        <w:t xml:space="preserve"> having </w:t>
      </w:r>
      <w:r w:rsidRPr="00856830">
        <w:rPr>
          <w:color w:val="000000" w:themeColor="text1"/>
          <w:sz w:val="24"/>
          <w:szCs w:val="24"/>
        </w:rPr>
        <w:t xml:space="preserve">students use </w:t>
      </w:r>
      <w:r>
        <w:rPr>
          <w:color w:val="000000" w:themeColor="text1"/>
          <w:sz w:val="24"/>
          <w:szCs w:val="24"/>
        </w:rPr>
        <w:t xml:space="preserve">an </w:t>
      </w:r>
      <w:r w:rsidRPr="00856830">
        <w:rPr>
          <w:color w:val="000000" w:themeColor="text1"/>
          <w:sz w:val="24"/>
          <w:szCs w:val="24"/>
        </w:rPr>
        <w:t xml:space="preserve">electronic Handout </w:t>
      </w:r>
      <w:r>
        <w:rPr>
          <w:color w:val="000000" w:themeColor="text1"/>
          <w:sz w:val="24"/>
          <w:szCs w:val="24"/>
        </w:rPr>
        <w:t>10</w:t>
      </w:r>
      <w:r w:rsidRPr="00856830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-</w:t>
      </w:r>
      <w:r w:rsidRPr="00856830">
        <w:rPr>
          <w:color w:val="000000" w:themeColor="text1"/>
          <w:sz w:val="24"/>
          <w:szCs w:val="24"/>
        </w:rPr>
        <w:t xml:space="preserve">1, tell them how to find </w:t>
      </w:r>
      <w:r>
        <w:rPr>
          <w:color w:val="000000" w:themeColor="text1"/>
          <w:sz w:val="24"/>
          <w:szCs w:val="24"/>
        </w:rPr>
        <w:t xml:space="preserve">and open </w:t>
      </w:r>
      <w:r w:rsidRPr="00856830">
        <w:rPr>
          <w:color w:val="000000" w:themeColor="text1"/>
          <w:sz w:val="24"/>
          <w:szCs w:val="24"/>
        </w:rPr>
        <w:t>it.</w:t>
      </w:r>
    </w:p>
    <w:p w14:paraId="1E8A350E" w14:textId="77777777" w:rsidR="00B254F0" w:rsidRDefault="00B254F0" w:rsidP="00B254F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  <w:t xml:space="preserve">Introduce </w:t>
      </w:r>
      <w:r w:rsidRPr="00535B50">
        <w:rPr>
          <w:sz w:val="24"/>
          <w:szCs w:val="24"/>
        </w:rPr>
        <w:t>the activity</w:t>
      </w:r>
      <w:r>
        <w:rPr>
          <w:sz w:val="24"/>
          <w:szCs w:val="24"/>
        </w:rPr>
        <w:t xml:space="preserve">, using the Possible Script below or your own remarks. </w:t>
      </w:r>
    </w:p>
    <w:p w14:paraId="37221235" w14:textId="77777777" w:rsidR="00B254F0" w:rsidRDefault="00B254F0" w:rsidP="00B254F0">
      <w:pPr>
        <w:ind w:left="720" w:hanging="66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Ask students </w:t>
      </w:r>
      <w:r>
        <w:rPr>
          <w:sz w:val="24"/>
          <w:szCs w:val="24"/>
        </w:rPr>
        <w:t xml:space="preserve">to follow the directions on the handout to integrate the sentences of source text appropriately for academic writing.  Give them 5 minutes to complete the handout. </w:t>
      </w:r>
    </w:p>
    <w:p w14:paraId="312156F8" w14:textId="77777777" w:rsidR="00B254F0" w:rsidRDefault="00B254F0" w:rsidP="00B254F0">
      <w:pPr>
        <w:ind w:left="720" w:hanging="66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  <w:t xml:space="preserve">After 5 minutes, </w:t>
      </w:r>
      <w:r>
        <w:rPr>
          <w:sz w:val="24"/>
          <w:szCs w:val="24"/>
        </w:rPr>
        <w:t>a</w:t>
      </w:r>
      <w:r w:rsidRPr="002233D5">
        <w:rPr>
          <w:sz w:val="24"/>
          <w:szCs w:val="24"/>
        </w:rPr>
        <w:t xml:space="preserve">sk </w:t>
      </w:r>
      <w:r>
        <w:rPr>
          <w:sz w:val="24"/>
          <w:szCs w:val="24"/>
        </w:rPr>
        <w:t xml:space="preserve">a </w:t>
      </w:r>
      <w:r w:rsidRPr="002233D5">
        <w:rPr>
          <w:sz w:val="24"/>
          <w:szCs w:val="24"/>
        </w:rPr>
        <w:t>student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 read his/her sentences aloud in the order they put them in, which should constitute one paragraph of integrated writing.  </w:t>
      </w:r>
    </w:p>
    <w:p w14:paraId="67122828" w14:textId="59401617" w:rsidR="00B254F0" w:rsidRDefault="00B254F0" w:rsidP="00B254F0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ab/>
      </w:r>
      <w:r w:rsidRPr="00554352">
        <w:rPr>
          <w:b/>
          <w:sz w:val="24"/>
          <w:szCs w:val="24"/>
        </w:rPr>
        <w:t xml:space="preserve">Share </w:t>
      </w:r>
      <w:r>
        <w:rPr>
          <w:sz w:val="24"/>
          <w:szCs w:val="24"/>
        </w:rPr>
        <w:t>with students the suggested answers on Answer Key 10A</w:t>
      </w:r>
      <w:r w:rsidR="00F103BE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>1 and ask all students to compare these to their own paragraphs.</w:t>
      </w:r>
    </w:p>
    <w:p w14:paraId="3E9B6BFC" w14:textId="77777777" w:rsidR="00B254F0" w:rsidRDefault="00B254F0" w:rsidP="00B254F0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ab/>
        <w:t xml:space="preserve">Discuss the task.  </w:t>
      </w:r>
      <w:r>
        <w:rPr>
          <w:sz w:val="24"/>
          <w:szCs w:val="24"/>
        </w:rPr>
        <w:t xml:space="preserve">If students say that having to consider the sentences separately was confusing, tell them that the readers of their source paragraphs need help, too, to understand the argument.  </w:t>
      </w:r>
    </w:p>
    <w:p w14:paraId="6B8A7A23" w14:textId="77777777" w:rsidR="00B254F0" w:rsidRPr="000B0D09" w:rsidRDefault="00B254F0" w:rsidP="00B254F0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  <w:t xml:space="preserve">Point out </w:t>
      </w:r>
      <w:r>
        <w:rPr>
          <w:sz w:val="24"/>
          <w:szCs w:val="24"/>
        </w:rPr>
        <w:t xml:space="preserve">that integrating source material into academic writing is a skill that takes practice. </w:t>
      </w:r>
    </w:p>
    <w:p w14:paraId="3A7C7784" w14:textId="77777777" w:rsidR="00B254F0" w:rsidRDefault="00B254F0" w:rsidP="00B254F0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Remind students </w:t>
      </w:r>
      <w:r w:rsidRPr="0083550C">
        <w:rPr>
          <w:sz w:val="24"/>
          <w:szCs w:val="24"/>
        </w:rPr>
        <w:t xml:space="preserve">that a well-integrated </w:t>
      </w:r>
      <w:r>
        <w:rPr>
          <w:sz w:val="24"/>
          <w:szCs w:val="24"/>
        </w:rPr>
        <w:t xml:space="preserve">paragraph </w:t>
      </w:r>
      <w:r w:rsidRPr="0083550C">
        <w:rPr>
          <w:sz w:val="24"/>
          <w:szCs w:val="24"/>
        </w:rPr>
        <w:t>of source text</w:t>
      </w:r>
      <w:r>
        <w:rPr>
          <w:sz w:val="24"/>
          <w:szCs w:val="24"/>
        </w:rPr>
        <w:t>:</w:t>
      </w:r>
    </w:p>
    <w:p w14:paraId="5401E4E2" w14:textId="77777777" w:rsidR="00B254F0" w:rsidRDefault="00B254F0" w:rsidP="00B254F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Starts with a topic sentence and ends with a sentence </w:t>
      </w:r>
      <w:proofErr w:type="gramStart"/>
      <w:r>
        <w:rPr>
          <w:sz w:val="24"/>
          <w:szCs w:val="24"/>
        </w:rPr>
        <w:t>that transitions</w:t>
      </w:r>
      <w:proofErr w:type="gramEnd"/>
      <w:r>
        <w:rPr>
          <w:sz w:val="24"/>
          <w:szCs w:val="24"/>
        </w:rPr>
        <w:t xml:space="preserve"> to the next topic.</w:t>
      </w:r>
    </w:p>
    <w:p w14:paraId="67B69B73" w14:textId="77777777" w:rsidR="00B254F0" w:rsidRDefault="00B254F0" w:rsidP="00B254F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between those sentences are sentences from source material that make your argument.</w:t>
      </w:r>
    </w:p>
    <w:p w14:paraId="63767373" w14:textId="77777777" w:rsidR="00B254F0" w:rsidRDefault="00B254F0" w:rsidP="00B254F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Also between the first and last sentence is your interpretation of source material that explains how the text contributes to the points you want to make in your argument.</w:t>
      </w:r>
    </w:p>
    <w:p w14:paraId="380DC371" w14:textId="77777777" w:rsidR="004E600C" w:rsidRDefault="004E600C" w:rsidP="004E600C">
      <w:pPr>
        <w:rPr>
          <w:b/>
          <w:sz w:val="26"/>
          <w:szCs w:val="26"/>
        </w:rPr>
      </w:pPr>
    </w:p>
    <w:p w14:paraId="5AC98CB5" w14:textId="77777777" w:rsidR="004E600C" w:rsidRPr="007053F5" w:rsidRDefault="004E600C" w:rsidP="004E600C">
      <w:pPr>
        <w:rPr>
          <w:b/>
          <w:sz w:val="26"/>
          <w:szCs w:val="26"/>
        </w:rPr>
      </w:pPr>
      <w:r w:rsidRPr="007053F5">
        <w:rPr>
          <w:b/>
          <w:sz w:val="26"/>
          <w:szCs w:val="26"/>
        </w:rPr>
        <w:t>Possible Script</w:t>
      </w:r>
    </w:p>
    <w:p w14:paraId="0127E76E" w14:textId="77777777" w:rsidR="004E600C" w:rsidRPr="007B3624" w:rsidRDefault="004E600C" w:rsidP="004E600C">
      <w:pPr>
        <w:rPr>
          <w:sz w:val="24"/>
          <w:szCs w:val="24"/>
        </w:rPr>
      </w:pPr>
      <w:r w:rsidRPr="007B3624">
        <w:rPr>
          <w:sz w:val="24"/>
          <w:szCs w:val="24"/>
        </w:rPr>
        <w:t xml:space="preserve">In academic writing, you will often need to integrate material from information and data sources created by others into your </w:t>
      </w:r>
      <w:r>
        <w:rPr>
          <w:sz w:val="24"/>
          <w:szCs w:val="24"/>
        </w:rPr>
        <w:t xml:space="preserve">own </w:t>
      </w:r>
      <w:r w:rsidRPr="007B3624">
        <w:rPr>
          <w:sz w:val="24"/>
          <w:szCs w:val="24"/>
        </w:rPr>
        <w:t>work. In this way, you join an ongoing scholarly conversation and show readers that you have research to back up your arguments. Integrating sources is often a vital part of the information creation process</w:t>
      </w:r>
    </w:p>
    <w:p w14:paraId="72E61B1C" w14:textId="77777777" w:rsidR="004E600C" w:rsidRPr="007B3624" w:rsidRDefault="004E600C" w:rsidP="004E600C">
      <w:pPr>
        <w:rPr>
          <w:sz w:val="24"/>
          <w:szCs w:val="24"/>
        </w:rPr>
      </w:pPr>
    </w:p>
    <w:p w14:paraId="00AAEB33" w14:textId="77777777" w:rsidR="004E600C" w:rsidRPr="007B3624" w:rsidRDefault="004E600C" w:rsidP="004E600C">
      <w:pPr>
        <w:rPr>
          <w:sz w:val="24"/>
          <w:szCs w:val="24"/>
        </w:rPr>
      </w:pPr>
      <w:r w:rsidRPr="007B3624">
        <w:rPr>
          <w:sz w:val="24"/>
          <w:szCs w:val="24"/>
        </w:rPr>
        <w:t xml:space="preserve">Paragraphs in your academic writing will </w:t>
      </w:r>
      <w:r>
        <w:rPr>
          <w:sz w:val="24"/>
          <w:szCs w:val="24"/>
        </w:rPr>
        <w:t xml:space="preserve">often </w:t>
      </w:r>
      <w:r w:rsidRPr="00F141FD">
        <w:rPr>
          <w:color w:val="000000" w:themeColor="text1"/>
          <w:sz w:val="24"/>
          <w:szCs w:val="24"/>
        </w:rPr>
        <w:t>start</w:t>
      </w:r>
      <w:r w:rsidRPr="007B3624">
        <w:rPr>
          <w:sz w:val="24"/>
          <w:szCs w:val="24"/>
        </w:rPr>
        <w:t xml:space="preserve"> with an introductory sentence followed by a combination of evidence from source materials and explanation or interpretation of the evidence. </w:t>
      </w:r>
      <w:r>
        <w:rPr>
          <w:sz w:val="24"/>
          <w:szCs w:val="24"/>
        </w:rPr>
        <w:t xml:space="preserve"> </w:t>
      </w:r>
      <w:r w:rsidRPr="007B3624">
        <w:rPr>
          <w:sz w:val="24"/>
          <w:szCs w:val="24"/>
        </w:rPr>
        <w:t>Introductory sentences, or topic sentences, introduce the reader to the main topic of the paragraph. Evidence might take the form of data from, or quotations or summarizations of</w:t>
      </w:r>
      <w:r w:rsidRPr="005F68C7">
        <w:rPr>
          <w:sz w:val="24"/>
          <w:szCs w:val="24"/>
        </w:rPr>
        <w:t>,</w:t>
      </w:r>
      <w:r w:rsidRPr="007B3624">
        <w:rPr>
          <w:sz w:val="24"/>
          <w:szCs w:val="24"/>
        </w:rPr>
        <w:t xml:space="preserve"> other peoples’ work, all of which you must cite in some way.  </w:t>
      </w:r>
      <w:r>
        <w:rPr>
          <w:sz w:val="24"/>
          <w:szCs w:val="24"/>
        </w:rPr>
        <w:t xml:space="preserve">When you cite a source, you tell your reader who wrote or said something and in which publication you found it.  </w:t>
      </w:r>
      <w:r w:rsidRPr="007B3624">
        <w:rPr>
          <w:sz w:val="24"/>
          <w:szCs w:val="24"/>
        </w:rPr>
        <w:t>Whenever you include the work of others, explain how it relates to the argument you are making. You will also usually include a transition sentence at the end of a paragraph that leads to your next topic.</w:t>
      </w:r>
    </w:p>
    <w:p w14:paraId="5990C765" w14:textId="77777777" w:rsidR="004E600C" w:rsidRPr="004E600C" w:rsidRDefault="004E600C" w:rsidP="004E600C">
      <w:pPr>
        <w:spacing w:after="0" w:line="240" w:lineRule="auto"/>
        <w:rPr>
          <w:sz w:val="24"/>
          <w:szCs w:val="24"/>
        </w:rPr>
      </w:pPr>
    </w:p>
    <w:p w14:paraId="7A8236D9" w14:textId="77777777" w:rsidR="00210E71" w:rsidRDefault="00210E71" w:rsidP="00210E71">
      <w:pPr>
        <w:pStyle w:val="NoSpacing"/>
        <w:ind w:left="720"/>
        <w:rPr>
          <w:sz w:val="24"/>
          <w:szCs w:val="24"/>
        </w:rPr>
      </w:pPr>
    </w:p>
    <w:p w14:paraId="59CE4F74" w14:textId="229A72B6" w:rsidR="00941A8D" w:rsidRPr="00040C17" w:rsidRDefault="00941A8D" w:rsidP="00D66783"/>
    <w:sectPr w:rsidR="00941A8D" w:rsidRPr="00040C17" w:rsidSect="00B254F0">
      <w:headerReference w:type="default" r:id="rId7"/>
      <w:footerReference w:type="default" r:id="rId8"/>
      <w:pgSz w:w="12240" w:h="15840"/>
      <w:pgMar w:top="1440" w:right="1800" w:bottom="1440" w:left="1800" w:header="720" w:footer="10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67C834A3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B254F0">
      <w:rPr>
        <w:rFonts w:ascii="Arial" w:hAnsi="Arial"/>
        <w:sz w:val="18"/>
        <w:szCs w:val="18"/>
      </w:rPr>
      <w:t>10A</w:t>
    </w:r>
  </w:p>
  <w:p w14:paraId="05CFB3BE" w14:textId="5FE2FBE8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FF5724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8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18"/>
  </w:num>
  <w:num w:numId="11">
    <w:abstractNumId w:val="26"/>
  </w:num>
  <w:num w:numId="12">
    <w:abstractNumId w:val="17"/>
  </w:num>
  <w:num w:numId="13">
    <w:abstractNumId w:val="8"/>
  </w:num>
  <w:num w:numId="14">
    <w:abstractNumId w:val="24"/>
  </w:num>
  <w:num w:numId="15">
    <w:abstractNumId w:val="4"/>
  </w:num>
  <w:num w:numId="16">
    <w:abstractNumId w:val="16"/>
  </w:num>
  <w:num w:numId="17">
    <w:abstractNumId w:val="19"/>
  </w:num>
  <w:num w:numId="18">
    <w:abstractNumId w:val="20"/>
  </w:num>
  <w:num w:numId="19">
    <w:abstractNumId w:val="6"/>
  </w:num>
  <w:num w:numId="20">
    <w:abstractNumId w:val="15"/>
  </w:num>
  <w:num w:numId="21">
    <w:abstractNumId w:val="22"/>
  </w:num>
  <w:num w:numId="22">
    <w:abstractNumId w:val="10"/>
  </w:num>
  <w:num w:numId="23">
    <w:abstractNumId w:val="0"/>
  </w:num>
  <w:num w:numId="24">
    <w:abstractNumId w:val="31"/>
  </w:num>
  <w:num w:numId="25">
    <w:abstractNumId w:val="25"/>
  </w:num>
  <w:num w:numId="26">
    <w:abstractNumId w:val="32"/>
  </w:num>
  <w:num w:numId="27">
    <w:abstractNumId w:val="21"/>
  </w:num>
  <w:num w:numId="28">
    <w:abstractNumId w:val="14"/>
  </w:num>
  <w:num w:numId="29">
    <w:abstractNumId w:val="23"/>
  </w:num>
  <w:num w:numId="30">
    <w:abstractNumId w:val="27"/>
  </w:num>
  <w:num w:numId="31">
    <w:abstractNumId w:val="29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D65"/>
    <w:rsid w:val="001C3DA4"/>
    <w:rsid w:val="001F35A1"/>
    <w:rsid w:val="00210E7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4671"/>
    <w:rsid w:val="004850FA"/>
    <w:rsid w:val="00485EB9"/>
    <w:rsid w:val="004E1B11"/>
    <w:rsid w:val="004E600C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55ED2"/>
    <w:rsid w:val="006613A1"/>
    <w:rsid w:val="0067249C"/>
    <w:rsid w:val="006C4485"/>
    <w:rsid w:val="006E3CE2"/>
    <w:rsid w:val="006E7489"/>
    <w:rsid w:val="00704B30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A61716"/>
    <w:rsid w:val="00AC5EBB"/>
    <w:rsid w:val="00AC6165"/>
    <w:rsid w:val="00AD7BF7"/>
    <w:rsid w:val="00B254F0"/>
    <w:rsid w:val="00B4314A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66783"/>
    <w:rsid w:val="00DB089A"/>
    <w:rsid w:val="00DF249A"/>
    <w:rsid w:val="00DF34D5"/>
    <w:rsid w:val="00E01721"/>
    <w:rsid w:val="00E56B5C"/>
    <w:rsid w:val="00F103BE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  <w15:docId w15:val="{0306871C-C5CF-4E2C-9387-F8AE21E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2017-08-22T16:12:00Z</dcterms:created>
  <dcterms:modified xsi:type="dcterms:W3CDTF">2017-08-22T16:12:00Z</dcterms:modified>
</cp:coreProperties>
</file>